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Autospacing="on" w:beforeAutospacing="on" w:line="240" w:lineRule="auto"/>
        <w:ind/>
        <w:jc w:val="center"/>
        <w:outlineLvl w:val="1"/>
        <w:rPr>
          <w:rFonts w:ascii="Arial" w:hAnsi="Arial"/>
          <w:b w:val="1"/>
          <w:sz w:val="24"/>
        </w:rPr>
      </w:pPr>
      <w:r>
        <w:rPr>
          <w:rFonts w:ascii="Arial" w:hAnsi="Arial"/>
          <w:b w:val="1"/>
          <w:sz w:val="24"/>
        </w:rPr>
        <w:t>Протокол</w:t>
      </w:r>
      <w:r>
        <w:rPr>
          <w:rFonts w:ascii="Arial" w:hAnsi="Arial"/>
          <w:b w:val="1"/>
          <w:sz w:val="24"/>
        </w:rPr>
        <w:t xml:space="preserve"> № 3</w:t>
      </w:r>
      <w:r>
        <w:rPr>
          <w:rFonts w:ascii="Arial" w:hAnsi="Arial"/>
          <w:b w:val="1"/>
          <w:sz w:val="24"/>
        </w:rPr>
        <w:t xml:space="preserve"> ЭАКР-06-2023-П1</w:t>
      </w:r>
    </w:p>
    <w:p w14:paraId="02000000">
      <w:pPr>
        <w:spacing w:after="0" w:line="240" w:lineRule="auto"/>
        <w:ind/>
        <w:jc w:val="center"/>
        <w:outlineLvl w:val="1"/>
        <w:rPr>
          <w:rFonts w:ascii="Arial" w:hAnsi="Arial"/>
          <w:b w:val="1"/>
          <w:sz w:val="24"/>
        </w:rPr>
      </w:pPr>
      <w:r>
        <w:rPr>
          <w:rFonts w:ascii="Arial" w:hAnsi="Arial"/>
          <w:b w:val="1"/>
          <w:sz w:val="24"/>
        </w:rPr>
        <w:t>рассмотрения  заяв</w:t>
      </w:r>
      <w:r>
        <w:rPr>
          <w:rFonts w:ascii="Arial" w:hAnsi="Arial"/>
          <w:b w:val="1"/>
          <w:sz w:val="24"/>
        </w:rPr>
        <w:t>ок</w:t>
      </w:r>
      <w:r>
        <w:rPr>
          <w:rFonts w:ascii="Arial" w:hAnsi="Arial"/>
          <w:b w:val="1"/>
          <w:sz w:val="24"/>
        </w:rPr>
        <w:t xml:space="preserve"> </w:t>
      </w:r>
      <w:r>
        <w:rPr>
          <w:rFonts w:ascii="Arial" w:hAnsi="Arial"/>
          <w:b w:val="1"/>
          <w:sz w:val="24"/>
        </w:rPr>
        <w:t xml:space="preserve"> на участи</w:t>
      </w:r>
      <w:r>
        <w:rPr>
          <w:rFonts w:ascii="Arial" w:hAnsi="Arial"/>
          <w:b w:val="1"/>
          <w:sz w:val="24"/>
        </w:rPr>
        <w:t>е</w:t>
      </w:r>
      <w:r>
        <w:rPr>
          <w:rFonts w:ascii="Arial" w:hAnsi="Arial"/>
          <w:b w:val="1"/>
          <w:sz w:val="24"/>
        </w:rPr>
        <w:t xml:space="preserve">  в </w:t>
      </w:r>
      <w:r>
        <w:rPr>
          <w:rFonts w:ascii="Arial" w:hAnsi="Arial"/>
          <w:b w:val="1"/>
          <w:sz w:val="24"/>
        </w:rPr>
        <w:t xml:space="preserve">электронном аукционе </w:t>
      </w:r>
      <w:r>
        <w:rPr>
          <w:rFonts w:ascii="Arial" w:hAnsi="Arial"/>
          <w:b w:val="1"/>
          <w:sz w:val="24"/>
        </w:rPr>
        <w:t xml:space="preserve">на </w:t>
      </w:r>
      <w:r>
        <w:rPr>
          <w:rFonts w:ascii="Arial" w:hAnsi="Arial"/>
          <w:b w:val="1"/>
          <w:sz w:val="24"/>
        </w:rPr>
        <w:t xml:space="preserve">оказание услуг и (или) выполнение работ по капитальному ремонту общего имущества в многоквартирных домах, расположенных на территории городского округа </w:t>
      </w:r>
      <w:r>
        <w:rPr>
          <w:rFonts w:ascii="Arial" w:hAnsi="Arial"/>
          <w:b w:val="1"/>
          <w:sz w:val="24"/>
        </w:rPr>
        <w:t>Семеновский</w:t>
      </w:r>
      <w:r>
        <w:rPr>
          <w:rFonts w:ascii="Arial" w:hAnsi="Arial"/>
          <w:b w:val="1"/>
          <w:sz w:val="24"/>
        </w:rPr>
        <w:t xml:space="preserve"> Нижегородской области (№ 3</w:t>
      </w:r>
      <w:r>
        <w:rPr>
          <w:rFonts w:ascii="Arial" w:hAnsi="Arial"/>
          <w:b w:val="1"/>
          <w:sz w:val="24"/>
        </w:rPr>
        <w:t xml:space="preserve"> ЭАКР-06-2023)</w:t>
      </w:r>
    </w:p>
    <w:p w14:paraId="03000000">
      <w:pPr>
        <w:spacing w:after="0" w:line="240" w:lineRule="auto"/>
        <w:ind/>
        <w:jc w:val="center"/>
        <w:outlineLvl w:val="1"/>
        <w:rPr>
          <w:rFonts w:ascii="Arial" w:hAnsi="Arial"/>
          <w:b w:val="1"/>
          <w:sz w:val="24"/>
        </w:rPr>
      </w:pPr>
    </w:p>
    <w:p w14:paraId="04000000">
      <w:pPr>
        <w:spacing w:after="0" w:line="240" w:lineRule="auto"/>
        <w:ind/>
        <w:outlineLvl w:val="1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Номер извещения о проведении электронного аукциона </w:t>
      </w:r>
      <w:r>
        <w:rPr>
          <w:rFonts w:ascii="Arial" w:hAnsi="Arial"/>
          <w:sz w:val="24"/>
        </w:rPr>
        <w:t xml:space="preserve">№ </w:t>
      </w:r>
      <w:r>
        <w:rPr>
          <w:rFonts w:ascii="Arial" w:hAnsi="Arial"/>
          <w:sz w:val="24"/>
        </w:rPr>
        <w:t>083230000142300125</w:t>
      </w:r>
      <w:r>
        <w:rPr>
          <w:rFonts w:ascii="Arial" w:hAnsi="Arial"/>
          <w:sz w:val="24"/>
        </w:rPr>
        <w:t>.</w:t>
      </w:r>
    </w:p>
    <w:p w14:paraId="05000000">
      <w:pPr>
        <w:spacing w:after="0" w:line="240" w:lineRule="auto"/>
        <w:ind/>
        <w:outlineLvl w:val="1"/>
        <w:rPr>
          <w:rFonts w:ascii="Arial" w:hAnsi="Arial"/>
          <w:b w:val="0"/>
          <w:sz w:val="24"/>
        </w:rPr>
      </w:pPr>
      <w:r>
        <w:rPr>
          <w:rFonts w:ascii="Arial" w:hAnsi="Arial"/>
          <w:b w:val="1"/>
          <w:sz w:val="24"/>
        </w:rPr>
        <w:t>Дата проведения заседания:</w:t>
      </w:r>
      <w:r>
        <w:rPr>
          <w:rFonts w:ascii="Arial" w:hAnsi="Arial"/>
          <w:b w:val="0"/>
          <w:sz w:val="24"/>
        </w:rPr>
        <w:t xml:space="preserve"> 10.07.2023</w:t>
      </w:r>
      <w:r>
        <w:rPr>
          <w:rFonts w:ascii="Arial" w:hAnsi="Arial"/>
          <w:b w:val="0"/>
          <w:sz w:val="24"/>
        </w:rPr>
        <w:t xml:space="preserve"> г.</w:t>
      </w:r>
    </w:p>
    <w:p w14:paraId="06000000">
      <w:pPr>
        <w:pStyle w:val="Style_1"/>
        <w:spacing w:after="0" w:before="0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 xml:space="preserve">Место проведения: </w:t>
      </w:r>
      <w:r>
        <w:rPr>
          <w:rFonts w:ascii="Arial" w:hAnsi="Arial"/>
          <w:sz w:val="24"/>
        </w:rPr>
        <w:t>Нижегородская обл., г</w:t>
      </w:r>
      <w:r>
        <w:rPr>
          <w:rFonts w:ascii="Arial" w:hAnsi="Arial"/>
          <w:sz w:val="24"/>
        </w:rPr>
        <w:t>.С</w:t>
      </w:r>
      <w:r>
        <w:rPr>
          <w:rFonts w:ascii="Arial" w:hAnsi="Arial"/>
          <w:sz w:val="24"/>
        </w:rPr>
        <w:t>еменов, ул. 1 Мая, д.1, ком.</w:t>
      </w:r>
      <w:r>
        <w:rPr>
          <w:rFonts w:ascii="Arial" w:hAnsi="Arial"/>
          <w:sz w:val="24"/>
        </w:rPr>
        <w:t>3</w:t>
      </w:r>
      <w:r>
        <w:rPr>
          <w:rFonts w:ascii="Arial" w:hAnsi="Arial"/>
          <w:sz w:val="24"/>
        </w:rPr>
        <w:t>1, администраци</w:t>
      </w:r>
      <w:r>
        <w:rPr>
          <w:rFonts w:ascii="Arial" w:hAnsi="Arial"/>
          <w:sz w:val="24"/>
        </w:rPr>
        <w:t>я</w:t>
      </w:r>
      <w:r>
        <w:rPr>
          <w:rFonts w:ascii="Arial" w:hAnsi="Arial"/>
          <w:sz w:val="24"/>
        </w:rPr>
        <w:t xml:space="preserve"> городского округа Семеновский. </w:t>
      </w:r>
    </w:p>
    <w:p w14:paraId="07000000">
      <w:pPr>
        <w:tabs>
          <w:tab w:leader="none" w:pos="0" w:val="left"/>
          <w:tab w:leader="none" w:pos="851" w:val="left"/>
          <w:tab w:leader="none" w:pos="3060" w:val="left"/>
        </w:tabs>
        <w:spacing w:after="0" w:line="240" w:lineRule="auto"/>
        <w:ind/>
        <w:jc w:val="both"/>
        <w:rPr>
          <w:rFonts w:ascii="Arial" w:hAnsi="Arial"/>
          <w:color w:val="000000"/>
          <w:sz w:val="24"/>
        </w:rPr>
      </w:pPr>
      <w:r>
        <w:rPr>
          <w:rFonts w:ascii="Arial" w:hAnsi="Arial"/>
          <w:b w:val="1"/>
          <w:sz w:val="24"/>
        </w:rPr>
        <w:t>Начальная (максимальная) цена договора, руб.: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6 011 814 руб. (Шесть      миллионов одиннадцать тысяч восемьсот четырнадцать)  рублей.</w:t>
      </w:r>
    </w:p>
    <w:p w14:paraId="08000000">
      <w:pPr>
        <w:tabs>
          <w:tab w:leader="none" w:pos="0" w:val="left"/>
          <w:tab w:leader="none" w:pos="851" w:val="left"/>
          <w:tab w:leader="none" w:pos="3060" w:val="left"/>
        </w:tabs>
        <w:spacing w:after="0" w:line="240" w:lineRule="auto"/>
        <w:ind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Дата и время окончания срока подачи заявок на у</w:t>
      </w:r>
      <w:r>
        <w:rPr>
          <w:rFonts w:ascii="Arial" w:hAnsi="Arial"/>
          <w:sz w:val="24"/>
        </w:rPr>
        <w:t>час</w:t>
      </w:r>
      <w:r>
        <w:rPr>
          <w:rFonts w:ascii="Arial" w:hAnsi="Arial"/>
          <w:sz w:val="24"/>
        </w:rPr>
        <w:t>тие в электронном аукционе: 07.07</w:t>
      </w:r>
      <w:r>
        <w:rPr>
          <w:rFonts w:ascii="Arial" w:hAnsi="Arial"/>
          <w:sz w:val="24"/>
        </w:rPr>
        <w:t>.20</w:t>
      </w:r>
      <w:r>
        <w:rPr>
          <w:rFonts w:ascii="Arial" w:hAnsi="Arial"/>
          <w:sz w:val="24"/>
        </w:rPr>
        <w:t>23</w:t>
      </w:r>
      <w:r>
        <w:rPr>
          <w:rFonts w:ascii="Arial" w:hAnsi="Arial"/>
          <w:sz w:val="24"/>
        </w:rPr>
        <w:t>г.</w:t>
      </w:r>
      <w:r>
        <w:rPr>
          <w:rFonts w:ascii="Arial" w:hAnsi="Arial"/>
          <w:sz w:val="24"/>
        </w:rPr>
        <w:t xml:space="preserve"> в </w:t>
      </w:r>
      <w:r>
        <w:rPr>
          <w:rFonts w:ascii="Arial" w:hAnsi="Arial"/>
          <w:sz w:val="24"/>
        </w:rPr>
        <w:t>11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час. </w:t>
      </w:r>
      <w:r>
        <w:rPr>
          <w:rFonts w:ascii="Arial" w:hAnsi="Arial"/>
          <w:sz w:val="24"/>
        </w:rPr>
        <w:t>00</w:t>
      </w:r>
      <w:r>
        <w:rPr>
          <w:rFonts w:ascii="Arial" w:hAnsi="Arial"/>
          <w:sz w:val="24"/>
        </w:rPr>
        <w:t xml:space="preserve"> мин. </w:t>
      </w:r>
    </w:p>
    <w:p w14:paraId="09000000">
      <w:pPr>
        <w:tabs>
          <w:tab w:leader="none" w:pos="0" w:val="left"/>
          <w:tab w:leader="none" w:pos="851" w:val="left"/>
          <w:tab w:leader="none" w:pos="3060" w:val="left"/>
        </w:tabs>
        <w:spacing w:after="0" w:line="240" w:lineRule="auto"/>
        <w:ind/>
        <w:jc w:val="both"/>
        <w:rPr>
          <w:rFonts w:ascii="Arial" w:hAnsi="Arial"/>
          <w:sz w:val="24"/>
        </w:rPr>
      </w:pPr>
    </w:p>
    <w:p w14:paraId="0A000000">
      <w:pPr>
        <w:spacing w:after="0" w:line="240" w:lineRule="auto"/>
        <w:ind/>
        <w:outlineLvl w:val="1"/>
        <w:rPr>
          <w:rFonts w:ascii="Arial" w:hAnsi="Arial"/>
          <w:b w:val="1"/>
          <w:sz w:val="24"/>
        </w:rPr>
      </w:pPr>
      <w:r>
        <w:rPr>
          <w:rFonts w:ascii="Arial" w:hAnsi="Arial"/>
          <w:b w:val="1"/>
          <w:sz w:val="24"/>
        </w:rPr>
        <w:t xml:space="preserve">На заседании комиссии </w:t>
      </w:r>
      <w:r>
        <w:rPr>
          <w:rFonts w:ascii="Arial" w:hAnsi="Arial"/>
          <w:b w:val="1"/>
          <w:sz w:val="24"/>
        </w:rPr>
        <w:t>п</w:t>
      </w:r>
      <w:r>
        <w:rPr>
          <w:rFonts w:ascii="Arial" w:hAnsi="Arial"/>
          <w:b w:val="1"/>
          <w:sz w:val="24"/>
        </w:rPr>
        <w:t>рисутствовали:</w:t>
      </w:r>
    </w:p>
    <w:tbl>
      <w:tblPr>
        <w:tblStyle w:val="Style_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28"/>
          <w:left w:type="dxa" w:w="28"/>
          <w:bottom w:type="dxa" w:w="28"/>
          <w:right w:type="dxa" w:w="28"/>
        </w:tblCellMar>
      </w:tblPr>
      <w:tblGrid>
        <w:gridCol w:w="4266"/>
        <w:gridCol w:w="3622"/>
        <w:gridCol w:w="2177"/>
      </w:tblGrid>
      <w:tr>
        <w:tc>
          <w:tcPr>
            <w:tcW w:type="dxa" w:w="42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1" w:themeFillShade="D9" w:val="clear"/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B000000">
            <w:pPr>
              <w:spacing w:after="0" w:line="240" w:lineRule="auto"/>
              <w:ind/>
              <w:jc w:val="center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Член</w:t>
            </w:r>
            <w:r>
              <w:rPr>
                <w:rFonts w:ascii="Arial" w:hAnsi="Arial"/>
                <w:b w:val="1"/>
                <w:sz w:val="24"/>
              </w:rPr>
              <w:t>ы</w:t>
            </w:r>
            <w:r>
              <w:rPr>
                <w:rFonts w:ascii="Arial" w:hAnsi="Arial"/>
                <w:b w:val="1"/>
                <w:sz w:val="24"/>
              </w:rPr>
              <w:t xml:space="preserve"> комиссии </w:t>
            </w:r>
          </w:p>
        </w:tc>
        <w:tc>
          <w:tcPr>
            <w:tcW w:type="dxa" w:w="3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1" w:themeFillShade="D9" w:val="clear"/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C000000">
            <w:pPr>
              <w:spacing w:after="0" w:line="240" w:lineRule="auto"/>
              <w:ind/>
              <w:jc w:val="center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Роль</w:t>
            </w:r>
          </w:p>
        </w:tc>
        <w:tc>
          <w:tcPr>
            <w:tcW w:type="dxa" w:w="21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themeFill="background1" w:themeFillShade="D9" w:val="clear"/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D000000">
            <w:pPr>
              <w:spacing w:after="0" w:line="240" w:lineRule="auto"/>
              <w:ind/>
              <w:jc w:val="center"/>
              <w:rPr>
                <w:rFonts w:ascii="Arial" w:hAnsi="Arial"/>
                <w:b w:val="1"/>
                <w:sz w:val="24"/>
              </w:rPr>
            </w:pPr>
            <w:r>
              <w:rPr>
                <w:rFonts w:ascii="Arial" w:hAnsi="Arial"/>
                <w:b w:val="1"/>
                <w:sz w:val="24"/>
              </w:rPr>
              <w:t>Статус</w:t>
            </w:r>
          </w:p>
        </w:tc>
      </w:tr>
      <w:tr>
        <w:tc>
          <w:tcPr>
            <w:tcW w:type="dxa" w:w="42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E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Песков Александр Григорьевич</w:t>
            </w:r>
          </w:p>
        </w:tc>
        <w:tc>
          <w:tcPr>
            <w:tcW w:type="dxa" w:w="3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0F000000">
            <w:pPr>
              <w:spacing w:after="60" w:before="60" w:line="240" w:lineRule="auto"/>
              <w:ind w:firstLine="0" w:left="109" w:right="11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Председатель комиссии</w:t>
            </w:r>
          </w:p>
        </w:tc>
        <w:tc>
          <w:tcPr>
            <w:tcW w:type="dxa" w:w="21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0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присутствовал</w:t>
            </w:r>
          </w:p>
        </w:tc>
      </w:tr>
      <w:tr>
        <w:tc>
          <w:tcPr>
            <w:tcW w:type="dxa" w:w="42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1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Соловьева Елена Александровна                                    </w:t>
            </w:r>
          </w:p>
        </w:tc>
        <w:tc>
          <w:tcPr>
            <w:tcW w:type="dxa" w:w="3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2000000">
            <w:pPr>
              <w:spacing w:after="60" w:before="60" w:line="240" w:lineRule="auto"/>
              <w:ind w:firstLine="0" w:left="109" w:right="11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Член комиссии</w:t>
            </w:r>
          </w:p>
        </w:tc>
        <w:tc>
          <w:tcPr>
            <w:tcW w:type="dxa" w:w="21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3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присутствовал</w:t>
            </w:r>
          </w:p>
        </w:tc>
      </w:tr>
      <w:tr>
        <w:tc>
          <w:tcPr>
            <w:tcW w:type="dxa" w:w="42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4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Вихарева Татьяна Николаевна</w:t>
            </w:r>
          </w:p>
        </w:tc>
        <w:tc>
          <w:tcPr>
            <w:tcW w:type="dxa" w:w="3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5000000">
            <w:pPr>
              <w:spacing w:after="60" w:before="60" w:line="240" w:lineRule="auto"/>
              <w:ind w:firstLine="0" w:left="109" w:right="11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Член комиссии</w:t>
            </w:r>
          </w:p>
        </w:tc>
        <w:tc>
          <w:tcPr>
            <w:tcW w:type="dxa" w:w="21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6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присутствовал</w:t>
            </w:r>
          </w:p>
        </w:tc>
      </w:tr>
      <w:tr>
        <w:tc>
          <w:tcPr>
            <w:tcW w:type="dxa" w:w="42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7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Дашкова Светлана Сергеевна</w:t>
            </w:r>
          </w:p>
        </w:tc>
        <w:tc>
          <w:tcPr>
            <w:tcW w:type="dxa" w:w="3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8000000">
            <w:pPr>
              <w:spacing w:after="60" w:before="60" w:line="240" w:lineRule="auto"/>
              <w:ind w:firstLine="0" w:left="109" w:right="114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Секретарь комиссии</w:t>
            </w:r>
          </w:p>
        </w:tc>
        <w:tc>
          <w:tcPr>
            <w:tcW w:type="dxa" w:w="21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28"/>
              <w:left w:type="dxa" w:w="28"/>
              <w:bottom w:type="dxa" w:w="28"/>
              <w:right w:type="dxa" w:w="28"/>
            </w:tcMar>
            <w:vAlign w:val="center"/>
          </w:tcPr>
          <w:p w14:paraId="19000000">
            <w:pPr>
              <w:spacing w:after="60" w:before="60" w:line="240" w:lineRule="auto"/>
              <w:ind w:firstLine="0" w:left="109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присутствовал</w:t>
            </w:r>
          </w:p>
        </w:tc>
      </w:tr>
    </w:tbl>
    <w:p w14:paraId="1A000000">
      <w:pPr>
        <w:spacing w:after="0" w:line="240" w:lineRule="auto"/>
        <w:ind/>
        <w:outlineLvl w:val="1"/>
        <w:rPr>
          <w:rFonts w:ascii="Arial" w:hAnsi="Arial"/>
          <w:sz w:val="24"/>
        </w:rPr>
      </w:pPr>
    </w:p>
    <w:p w14:paraId="1B000000">
      <w:pPr>
        <w:spacing w:after="0" w:line="240" w:lineRule="auto"/>
        <w:ind/>
        <w:outlineLvl w:val="1"/>
        <w:rPr>
          <w:rFonts w:ascii="Arial" w:hAnsi="Arial"/>
          <w:sz w:val="24"/>
        </w:rPr>
      </w:pPr>
      <w:r>
        <w:rPr>
          <w:rFonts w:ascii="Arial" w:hAnsi="Arial"/>
          <w:sz w:val="24"/>
        </w:rPr>
        <w:t>Кворум имеется.</w:t>
      </w:r>
    </w:p>
    <w:p w14:paraId="1C000000">
      <w:pPr>
        <w:spacing w:after="0" w:line="240" w:lineRule="auto"/>
        <w:ind/>
        <w:outlineLvl w:val="1"/>
        <w:rPr>
          <w:rFonts w:ascii="Arial" w:hAnsi="Arial"/>
          <w:sz w:val="24"/>
        </w:rPr>
      </w:pPr>
      <w:r>
        <w:rPr>
          <w:rFonts w:ascii="Arial" w:hAnsi="Arial"/>
          <w:sz w:val="24"/>
        </w:rPr>
        <w:t>Комиссия правомочна.</w:t>
      </w:r>
    </w:p>
    <w:p w14:paraId="1D000000">
      <w:pPr>
        <w:pStyle w:val="Style_3"/>
        <w:numPr>
          <w:ilvl w:val="0"/>
          <w:numId w:val="1"/>
        </w:numPr>
        <w:spacing w:afterAutospacing="on" w:beforeAutospacing="on" w:line="240" w:lineRule="auto"/>
        <w:ind/>
        <w:outlineLvl w:val="1"/>
        <w:rPr>
          <w:rFonts w:ascii="Arial" w:hAnsi="Arial"/>
          <w:sz w:val="24"/>
        </w:rPr>
      </w:pPr>
      <w:r>
        <w:rPr>
          <w:rFonts w:ascii="Arial" w:hAnsi="Arial"/>
          <w:sz w:val="24"/>
        </w:rPr>
        <w:t>Повестка дня</w:t>
      </w:r>
    </w:p>
    <w:p w14:paraId="1E000000">
      <w:pPr>
        <w:spacing w:afterAutospacing="on" w:beforeAutospacing="on" w:line="240" w:lineRule="auto"/>
        <w:ind/>
        <w:jc w:val="both"/>
        <w:outlineLvl w:val="1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</w:t>
      </w:r>
      <w:r>
        <w:rPr>
          <w:rFonts w:ascii="Arial" w:hAnsi="Arial"/>
          <w:sz w:val="24"/>
        </w:rPr>
        <w:t xml:space="preserve">Рассмотрение </w:t>
      </w:r>
      <w:r>
        <w:rPr>
          <w:rFonts w:ascii="Arial" w:hAnsi="Arial"/>
          <w:sz w:val="24"/>
        </w:rPr>
        <w:t xml:space="preserve">заявок на участие в электронном аукционе подрядных организаций по извещению </w:t>
      </w:r>
      <w:r>
        <w:rPr>
          <w:rFonts w:ascii="Arial" w:hAnsi="Arial"/>
          <w:sz w:val="24"/>
        </w:rPr>
        <w:t>от 29.06</w:t>
      </w:r>
      <w:r>
        <w:rPr>
          <w:rFonts w:ascii="Arial" w:hAnsi="Arial"/>
          <w:sz w:val="24"/>
        </w:rPr>
        <w:t>.2023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№ </w:t>
      </w:r>
      <w:r>
        <w:rPr>
          <w:rFonts w:ascii="Arial" w:hAnsi="Arial"/>
          <w:sz w:val="24"/>
        </w:rPr>
        <w:t>083230000142300125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(№ </w:t>
      </w:r>
      <w:r>
        <w:rPr>
          <w:rFonts w:ascii="Arial" w:hAnsi="Arial"/>
          <w:b w:val="0"/>
          <w:sz w:val="24"/>
        </w:rPr>
        <w:t>3</w:t>
      </w:r>
      <w:r>
        <w:rPr>
          <w:rFonts w:ascii="Arial" w:hAnsi="Arial"/>
          <w:b w:val="0"/>
          <w:sz w:val="24"/>
        </w:rPr>
        <w:t xml:space="preserve"> ЭАКР-06-2023</w:t>
      </w:r>
      <w:r>
        <w:rPr>
          <w:rFonts w:ascii="Arial" w:hAnsi="Arial"/>
          <w:sz w:val="24"/>
        </w:rPr>
        <w:t>)</w:t>
      </w:r>
      <w:r>
        <w:rPr>
          <w:rFonts w:ascii="Arial" w:hAnsi="Arial"/>
          <w:sz w:val="24"/>
        </w:rPr>
        <w:t xml:space="preserve">, размещенному в информационно-коммуникационной сети «Интернет» на сайте </w:t>
      </w:r>
      <w:r>
        <w:rPr>
          <w:rStyle w:val="Style_4_ch"/>
          <w:rFonts w:ascii="Arial" w:hAnsi="Arial"/>
          <w:sz w:val="24"/>
        </w:rPr>
        <w:fldChar w:fldCharType="begin"/>
      </w:r>
      <w:r>
        <w:rPr>
          <w:rStyle w:val="Style_4_ch"/>
          <w:rFonts w:ascii="Arial" w:hAnsi="Arial"/>
          <w:sz w:val="24"/>
        </w:rPr>
        <w:instrText>HYPERLINK "http://www.zakupki.gov.ru"</w:instrText>
      </w:r>
      <w:r>
        <w:rPr>
          <w:rStyle w:val="Style_4_ch"/>
          <w:rFonts w:ascii="Arial" w:hAnsi="Arial"/>
          <w:sz w:val="24"/>
        </w:rPr>
        <w:fldChar w:fldCharType="separate"/>
      </w:r>
      <w:r>
        <w:rPr>
          <w:rStyle w:val="Style_4_ch"/>
          <w:rFonts w:ascii="Arial" w:hAnsi="Arial"/>
          <w:sz w:val="24"/>
        </w:rPr>
        <w:t>www</w:t>
      </w:r>
      <w:r>
        <w:rPr>
          <w:rStyle w:val="Style_4_ch"/>
          <w:rFonts w:ascii="Arial" w:hAnsi="Arial"/>
          <w:sz w:val="24"/>
        </w:rPr>
        <w:t>.</w:t>
      </w:r>
      <w:r>
        <w:rPr>
          <w:rStyle w:val="Style_4_ch"/>
          <w:rFonts w:ascii="Arial" w:hAnsi="Arial"/>
          <w:sz w:val="24"/>
        </w:rPr>
        <w:t>zakupki</w:t>
      </w:r>
      <w:r>
        <w:rPr>
          <w:rStyle w:val="Style_4_ch"/>
          <w:rFonts w:ascii="Arial" w:hAnsi="Arial"/>
          <w:sz w:val="24"/>
        </w:rPr>
        <w:t>.</w:t>
      </w:r>
      <w:r>
        <w:rPr>
          <w:rStyle w:val="Style_4_ch"/>
          <w:rFonts w:ascii="Arial" w:hAnsi="Arial"/>
          <w:sz w:val="24"/>
        </w:rPr>
        <w:t>gov</w:t>
      </w:r>
      <w:r>
        <w:rPr>
          <w:rStyle w:val="Style_4_ch"/>
          <w:rFonts w:ascii="Arial" w:hAnsi="Arial"/>
          <w:sz w:val="24"/>
        </w:rPr>
        <w:t>.</w:t>
      </w:r>
      <w:r>
        <w:rPr>
          <w:rStyle w:val="Style_4_ch"/>
          <w:rFonts w:ascii="Arial" w:hAnsi="Arial"/>
          <w:sz w:val="24"/>
        </w:rPr>
        <w:t>ru</w:t>
      </w:r>
      <w:r>
        <w:rPr>
          <w:rStyle w:val="Style_4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и на с</w:t>
      </w:r>
      <w:r>
        <w:rPr>
          <w:rFonts w:ascii="Arial" w:hAnsi="Arial"/>
          <w:sz w:val="24"/>
        </w:rPr>
        <w:t>а</w:t>
      </w:r>
      <w:r>
        <w:rPr>
          <w:rFonts w:ascii="Arial" w:hAnsi="Arial"/>
          <w:sz w:val="24"/>
        </w:rPr>
        <w:t xml:space="preserve">йте оператора электронной площадки </w:t>
      </w:r>
      <w:r>
        <w:rPr>
          <w:rFonts w:ascii="Arial" w:hAnsi="Arial"/>
          <w:color w:val="0000FF"/>
          <w:sz w:val="24"/>
          <w:u w:val="single"/>
        </w:rPr>
        <w:fldChar w:fldCharType="begin"/>
      </w:r>
      <w:r>
        <w:rPr>
          <w:rFonts w:ascii="Arial" w:hAnsi="Arial"/>
          <w:color w:val="0000FF"/>
          <w:sz w:val="24"/>
          <w:u w:val="single"/>
        </w:rPr>
        <w:instrText>HYPERLINK "http://www.fkr.etp-ets.ru"</w:instrText>
      </w:r>
      <w:r>
        <w:rPr>
          <w:rFonts w:ascii="Arial" w:hAnsi="Arial"/>
          <w:color w:val="0000FF"/>
          <w:sz w:val="24"/>
          <w:u w:val="single"/>
        </w:rPr>
        <w:fldChar w:fldCharType="separate"/>
      </w:r>
      <w:r>
        <w:rPr>
          <w:rFonts w:ascii="Arial" w:hAnsi="Arial"/>
          <w:color w:val="0000FF"/>
          <w:sz w:val="24"/>
          <w:u w:val="single"/>
        </w:rPr>
        <w:t>www.etp-ets.ru</w:t>
      </w:r>
      <w:r>
        <w:rPr>
          <w:rFonts w:ascii="Arial" w:hAnsi="Arial"/>
          <w:color w:val="0000FF"/>
          <w:sz w:val="24"/>
          <w:u w:val="single"/>
        </w:rPr>
        <w:fldChar w:fldCharType="end"/>
      </w:r>
      <w:r>
        <w:rPr>
          <w:rFonts w:ascii="Arial" w:hAnsi="Arial"/>
          <w:sz w:val="24"/>
        </w:rPr>
        <w:t xml:space="preserve"> н</w:t>
      </w:r>
      <w:r>
        <w:rPr>
          <w:rFonts w:ascii="Arial" w:hAnsi="Arial"/>
          <w:sz w:val="24"/>
        </w:rPr>
        <w:t>а соответствие требованиям, установленным Документацией об электронном аукционе</w:t>
      </w:r>
      <w:r>
        <w:rPr>
          <w:rFonts w:ascii="Arial" w:hAnsi="Arial"/>
          <w:sz w:val="24"/>
        </w:rPr>
        <w:t>,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поступивших </w:t>
      </w:r>
      <w:r>
        <w:rPr>
          <w:rFonts w:ascii="Arial" w:hAnsi="Arial"/>
          <w:sz w:val="24"/>
        </w:rPr>
        <w:t>от</w:t>
      </w:r>
      <w:r>
        <w:rPr>
          <w:rFonts w:ascii="Arial" w:hAnsi="Arial"/>
          <w:sz w:val="24"/>
        </w:rPr>
        <w:t xml:space="preserve"> следующих участников электронного аукциона:</w:t>
      </w:r>
    </w:p>
    <w:tbl>
      <w:tblPr>
        <w:tblStyle w:val="Style_5"/>
        <w:tblInd w:type="dxa" w:w="-176"/>
        <w:tblLayout w:type="fixed"/>
      </w:tblPr>
      <w:tblGrid>
        <w:gridCol w:w="972"/>
        <w:gridCol w:w="2851"/>
        <w:gridCol w:w="1870"/>
        <w:gridCol w:w="4548"/>
      </w:tblGrid>
      <w:tr>
        <w:tc>
          <w:tcPr>
            <w:tcW w:type="dxa" w:w="972"/>
          </w:tcPr>
          <w:p w14:paraId="1F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Номер заявки</w:t>
            </w:r>
          </w:p>
        </w:tc>
        <w:tc>
          <w:tcPr>
            <w:tcW w:type="dxa" w:w="2851"/>
          </w:tcPr>
          <w:p w14:paraId="20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Наименование</w:t>
            </w:r>
          </w:p>
        </w:tc>
        <w:tc>
          <w:tcPr>
            <w:tcW w:type="dxa" w:w="1870"/>
          </w:tcPr>
          <w:p w14:paraId="21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ИНН</w:t>
            </w:r>
          </w:p>
        </w:tc>
        <w:tc>
          <w:tcPr>
            <w:tcW w:type="dxa" w:w="4548"/>
          </w:tcPr>
          <w:p w14:paraId="22000000">
            <w:pPr>
              <w:spacing w:afterAutospacing="on" w:beforeAutospacing="on"/>
              <w:ind/>
              <w:jc w:val="both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Адрес </w:t>
            </w:r>
            <w:r>
              <w:rPr>
                <w:rFonts w:ascii="Arial" w:hAnsi="Arial"/>
                <w:sz w:val="24"/>
              </w:rPr>
              <w:t>юридического</w:t>
            </w:r>
            <w:r>
              <w:rPr>
                <w:rFonts w:ascii="Arial" w:hAnsi="Arial"/>
                <w:sz w:val="24"/>
              </w:rPr>
              <w:t xml:space="preserve"> лица (или адрес места жительства – для индивидуального предпринимателя)</w:t>
            </w:r>
            <w:r>
              <w:rPr>
                <w:rFonts w:ascii="Arial" w:hAnsi="Arial"/>
                <w:sz w:val="24"/>
              </w:rPr>
              <w:t xml:space="preserve">, </w:t>
            </w:r>
            <w:r>
              <w:rPr>
                <w:rFonts w:ascii="Arial" w:hAnsi="Arial"/>
                <w:sz w:val="24"/>
              </w:rPr>
              <w:t>а</w:t>
            </w:r>
            <w:r>
              <w:rPr>
                <w:rFonts w:ascii="Arial" w:hAnsi="Arial"/>
                <w:sz w:val="24"/>
              </w:rPr>
              <w:t>дрес электронной почты</w:t>
            </w:r>
          </w:p>
        </w:tc>
      </w:tr>
      <w:tr>
        <w:trPr>
          <w:trHeight w:hRule="atLeast" w:val="416"/>
        </w:trPr>
        <w:tc>
          <w:tcPr>
            <w:tcW w:type="dxa" w:w="972"/>
          </w:tcPr>
          <w:p w14:paraId="23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1.</w:t>
            </w:r>
          </w:p>
        </w:tc>
        <w:tc>
          <w:tcPr>
            <w:tcW w:type="dxa" w:w="2851"/>
          </w:tcPr>
          <w:p w14:paraId="24000000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 xml:space="preserve">ОБЩЕСТВО С ОГРАНИЧЕННОЙ ОТВЕТСТВЕН-НОСТЬЮ </w:t>
            </w: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"ЭНЕРГОЭФФЕКТИВ-НЫЕТЕХНОЛОГИИ"</w:t>
            </w:r>
          </w:p>
        </w:tc>
        <w:tc>
          <w:tcPr>
            <w:tcW w:type="dxa" w:w="1870"/>
          </w:tcPr>
          <w:p w14:paraId="25000000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5249147240</w:t>
            </w:r>
          </w:p>
        </w:tc>
        <w:tc>
          <w:tcPr>
            <w:tcW w:type="dxa" w:w="4548"/>
          </w:tcPr>
          <w:p w14:paraId="26000000">
            <w:pPr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Юр</w:t>
            </w:r>
            <w:r>
              <w:rPr>
                <w:rFonts w:ascii="Arial" w:hAnsi="Arial"/>
                <w:sz w:val="24"/>
              </w:rPr>
              <w:t>.а</w:t>
            </w:r>
            <w:r>
              <w:rPr>
                <w:rFonts w:ascii="Arial" w:hAnsi="Arial"/>
                <w:sz w:val="24"/>
              </w:rPr>
              <w:t>дрес</w:t>
            </w:r>
            <w:r>
              <w:rPr>
                <w:rFonts w:ascii="Arial" w:hAnsi="Arial"/>
                <w:sz w:val="24"/>
              </w:rPr>
              <w:t xml:space="preserve">: </w:t>
            </w:r>
            <w:r>
              <w:rPr>
                <w:rFonts w:ascii="Arial" w:hAnsi="Arial"/>
                <w:sz w:val="24"/>
              </w:rPr>
              <w:t>РФ, 603002, Нижегородская область, Г НИЖНИЙ НОВГОРОД, УЛ ДОЛГОПОЛОВА, Д. 77, СТР. 2, ПОМЕЩ. № 15</w:t>
            </w:r>
          </w:p>
          <w:p w14:paraId="27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color w:val="0000FF"/>
                <w:sz w:val="24"/>
                <w:u w:val="single"/>
              </w:rPr>
            </w:pPr>
            <w:r>
              <w:rPr>
                <w:rFonts w:ascii="Arial" w:hAnsi="Arial"/>
                <w:sz w:val="24"/>
              </w:rPr>
              <w:t xml:space="preserve">Почтовый адрес: </w:t>
            </w:r>
            <w:r>
              <w:rPr>
                <w:rFonts w:ascii="Arial" w:hAnsi="Arial"/>
                <w:sz w:val="24"/>
              </w:rPr>
              <w:t>Р</w:t>
            </w:r>
            <w:r>
              <w:rPr>
                <w:rFonts w:ascii="Arial" w:hAnsi="Arial"/>
                <w:sz w:val="24"/>
              </w:rPr>
              <w:t>Ф</w:t>
            </w:r>
            <w:r>
              <w:rPr>
                <w:rFonts w:ascii="Arial" w:hAnsi="Arial"/>
                <w:sz w:val="24"/>
              </w:rPr>
              <w:t xml:space="preserve">, </w:t>
            </w: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Нижегородская область, г.Нижний Новгород, ул.Долгополова, дом 77 литер А,А3,А4, помещение №15</w:t>
            </w:r>
          </w:p>
          <w:p w14:paraId="28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color w:val="0000FF"/>
                <w:sz w:val="24"/>
                <w:u w:val="single"/>
              </w:rPr>
            </w:pPr>
            <w:r>
              <w:rPr>
                <w:rFonts w:ascii="Arial" w:hAnsi="Arial"/>
                <w:color w:val="000000"/>
                <w:sz w:val="24"/>
                <w:u w:val="none"/>
              </w:rPr>
              <w:t xml:space="preserve">адрес эл.почты: </w:t>
            </w: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effekt_tehnologii@mail.ru</w:t>
            </w:r>
          </w:p>
        </w:tc>
      </w:tr>
      <w:tr>
        <w:trPr>
          <w:trHeight w:hRule="atLeast" w:val="920"/>
        </w:trPr>
        <w:tc>
          <w:tcPr>
            <w:tcW w:type="dxa" w:w="972"/>
          </w:tcPr>
          <w:p w14:paraId="29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</w:t>
            </w:r>
          </w:p>
        </w:tc>
        <w:tc>
          <w:tcPr>
            <w:tcW w:type="dxa" w:w="2851"/>
          </w:tcPr>
          <w:p w14:paraId="2A000000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ОБЩЕСТВО С ОГРАНИЧЕННОЙ ОТВЕТСТВЕН-НОСТЬЮ "НИЖЕГОРОД-КАПРЕМОНТ"</w:t>
            </w:r>
          </w:p>
        </w:tc>
        <w:tc>
          <w:tcPr>
            <w:tcW w:type="dxa" w:w="1870"/>
          </w:tcPr>
          <w:p w14:paraId="2B000000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5261115460</w:t>
            </w:r>
          </w:p>
        </w:tc>
        <w:tc>
          <w:tcPr>
            <w:tcW w:type="dxa" w:w="4548"/>
          </w:tcPr>
          <w:p w14:paraId="2C000000">
            <w:pPr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Юр</w:t>
            </w:r>
            <w:r>
              <w:rPr>
                <w:rFonts w:ascii="Arial" w:hAnsi="Arial"/>
                <w:sz w:val="24"/>
              </w:rPr>
              <w:t>.а</w:t>
            </w:r>
            <w:r>
              <w:rPr>
                <w:rFonts w:ascii="Arial" w:hAnsi="Arial"/>
                <w:sz w:val="24"/>
              </w:rPr>
              <w:t>дрес</w:t>
            </w:r>
            <w:r>
              <w:rPr>
                <w:rFonts w:ascii="Arial" w:hAnsi="Arial"/>
                <w:sz w:val="24"/>
              </w:rPr>
              <w:t xml:space="preserve">: </w:t>
            </w:r>
            <w:r>
              <w:rPr>
                <w:rFonts w:ascii="Arial" w:hAnsi="Arial"/>
                <w:b w:val="0"/>
                <w:i w:val="0"/>
                <w:caps w:val="0"/>
                <w:color w:val="212121"/>
                <w:spacing w:val="0"/>
                <w:sz w:val="24"/>
                <w:highlight w:val="white"/>
              </w:rPr>
              <w:t>603105, Нижегородская область,  Г НИЖНИЙ НОВГОРОД, УЛ ВАНЕЕВА, Д. 34, ПОМЕЩ. 5 КАБ. 404</w:t>
            </w:r>
          </w:p>
          <w:p w14:paraId="2D000000">
            <w:pPr>
              <w:ind/>
              <w:jc w:val="center"/>
              <w:outlineLvl w:val="1"/>
              <w:rPr>
                <w:rFonts w:ascii="Arial" w:hAnsi="Arial"/>
                <w:sz w:val="24"/>
              </w:rPr>
            </w:pPr>
          </w:p>
          <w:p w14:paraId="2E000000">
            <w:pPr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Почтовый адрес: </w:t>
            </w:r>
            <w:r>
              <w:rPr>
                <w:rFonts w:ascii="Arial" w:hAnsi="Arial"/>
                <w:sz w:val="24"/>
              </w:rPr>
              <w:t>Р</w:t>
            </w:r>
            <w:r>
              <w:rPr>
                <w:rFonts w:ascii="Arial" w:hAnsi="Arial"/>
                <w:sz w:val="24"/>
              </w:rPr>
              <w:t>Ф</w:t>
            </w:r>
            <w:r>
              <w:rPr>
                <w:rFonts w:ascii="Arial" w:hAnsi="Arial"/>
                <w:sz w:val="24"/>
              </w:rPr>
              <w:t xml:space="preserve">, </w:t>
            </w:r>
            <w:r>
              <w:rPr>
                <w:rFonts w:ascii="Arial" w:hAnsi="Arial"/>
                <w:b w:val="0"/>
                <w:i w:val="0"/>
                <w:caps w:val="0"/>
                <w:color w:val="212121"/>
                <w:spacing w:val="0"/>
                <w:sz w:val="24"/>
                <w:highlight w:val="white"/>
              </w:rPr>
              <w:t>603105, Нижегородская область, г. Нижний Новгород, ул. Ванеева, д. 34, офис 404</w:t>
            </w:r>
          </w:p>
          <w:p w14:paraId="2F000000">
            <w:pPr>
              <w:ind/>
              <w:jc w:val="center"/>
              <w:outlineLvl w:val="1"/>
              <w:rPr>
                <w:rFonts w:ascii="Arial" w:hAnsi="Arial"/>
                <w:sz w:val="24"/>
              </w:rPr>
            </w:pPr>
          </w:p>
          <w:p w14:paraId="30000000">
            <w:pPr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color w:val="000000"/>
                <w:sz w:val="24"/>
                <w:u w:val="none"/>
              </w:rPr>
              <w:t xml:space="preserve">адрес эл.почты: </w:t>
            </w:r>
            <w:r>
              <w:rPr>
                <w:rFonts w:ascii="Arial" w:hAnsi="Arial"/>
                <w:b w:val="0"/>
                <w:i w:val="0"/>
                <w:caps w:val="0"/>
                <w:color w:val="212121"/>
                <w:spacing w:val="0"/>
                <w:sz w:val="24"/>
                <w:highlight w:val="white"/>
              </w:rPr>
              <w:t>bataeva.tat@yandex.ru</w:t>
            </w:r>
          </w:p>
        </w:tc>
      </w:tr>
    </w:tbl>
    <w:p w14:paraId="31000000">
      <w:pPr>
        <w:pStyle w:val="Style_3"/>
        <w:numPr>
          <w:ilvl w:val="0"/>
          <w:numId w:val="1"/>
        </w:numPr>
        <w:spacing w:afterAutospacing="on" w:beforeAutospacing="on" w:line="240" w:lineRule="auto"/>
        <w:ind/>
        <w:outlineLvl w:val="1"/>
        <w:rPr>
          <w:rFonts w:ascii="Arial" w:hAnsi="Arial"/>
          <w:b w:val="1"/>
          <w:sz w:val="24"/>
        </w:rPr>
      </w:pPr>
      <w:r>
        <w:rPr>
          <w:rFonts w:ascii="Arial" w:hAnsi="Arial"/>
          <w:sz w:val="24"/>
        </w:rPr>
        <w:t>Результат рассмотрения заявок на участие в электронном аукционе:</w:t>
      </w:r>
    </w:p>
    <w:tbl>
      <w:tblPr>
        <w:tblStyle w:val="Style_2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247"/>
        <w:gridCol w:w="5120"/>
        <w:gridCol w:w="3875"/>
      </w:tblGrid>
      <w:tr>
        <w:trPr>
          <w:trHeight w:hRule="atLeast" w:val="276"/>
        </w:trPr>
        <w:tc>
          <w:tcPr>
            <w:tcW w:type="dxa" w:w="12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00000">
            <w:pPr>
              <w:spacing w:afterAutospacing="on" w:beforeAutospacing="on" w:line="240" w:lineRule="auto"/>
              <w:ind w:firstLine="0" w:left="63"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Н</w:t>
            </w:r>
            <w:r>
              <w:rPr>
                <w:rFonts w:ascii="Arial" w:hAnsi="Arial"/>
                <w:sz w:val="24"/>
              </w:rPr>
              <w:t>омер заявки</w:t>
            </w:r>
          </w:p>
        </w:tc>
        <w:tc>
          <w:tcPr>
            <w:tcW w:type="dxa" w:w="512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00000">
            <w:pPr>
              <w:spacing w:afterAutospacing="on" w:beforeAutospacing="on" w:line="240" w:lineRule="auto"/>
              <w:ind w:firstLine="0" w:left="63"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Наименование</w:t>
            </w:r>
          </w:p>
        </w:tc>
        <w:tc>
          <w:tcPr>
            <w:tcW w:type="dxa" w:w="38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00000">
            <w:pPr>
              <w:spacing w:afterAutospacing="on" w:beforeAutospacing="on" w:line="240" w:lineRule="auto"/>
              <w:ind w:firstLine="0" w:left="63"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Решение о соответствии требованиям документации об электронном аукционе (соответствует/не соответствует требованиям)</w:t>
            </w:r>
          </w:p>
        </w:tc>
      </w:tr>
      <w:tr>
        <w:trPr>
          <w:trHeight w:hRule="atLeast" w:val="455"/>
        </w:trPr>
        <w:tc>
          <w:tcPr>
            <w:tcW w:type="dxa" w:w="12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512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8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65"/>
        </w:trPr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1.</w:t>
            </w:r>
          </w:p>
        </w:tc>
        <w:tc>
          <w:tcPr>
            <w:tcW w:type="dxa" w:w="5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spacing w:after="0" w:line="240" w:lineRule="auto"/>
              <w:ind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 xml:space="preserve">ОБЩЕСТВО С ОГРАНИЧЕННОЙ ОТВЕТСТВЕННОСТЬЮ </w:t>
            </w: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"ЭНЕРГОЭФФЕКТИВНЫЕТЕХНОЛОГИИ"</w:t>
            </w:r>
          </w:p>
        </w:tc>
        <w:tc>
          <w:tcPr>
            <w:tcW w:type="dxa" w:w="38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00000">
            <w:pPr>
              <w:spacing w:afterAutospacing="on" w:beforeAutospacing="on" w:line="240" w:lineRule="auto"/>
              <w:ind w:firstLine="0" w:left="63"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соответствует</w:t>
            </w:r>
          </w:p>
        </w:tc>
      </w:tr>
      <w:tr>
        <w:trPr>
          <w:trHeight w:hRule="atLeast" w:val="165"/>
        </w:trPr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00000">
            <w:pPr>
              <w:spacing w:afterAutospacing="on" w:beforeAutospacing="on"/>
              <w:ind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2.</w:t>
            </w:r>
          </w:p>
        </w:tc>
        <w:tc>
          <w:tcPr>
            <w:tcW w:type="dxa" w:w="5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spacing w:after="0" w:line="240" w:lineRule="auto"/>
              <w:ind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ОБЩЕСТВО С ОГРАНИЧЕННОЙ ОТВЕТСТВЕННОСТЬЮ "</w:t>
            </w: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НИЖЕГОРОД-КАПРЕМОНТ</w:t>
            </w:r>
            <w:r>
              <w:rPr>
                <w:rFonts w:ascii="Arial" w:hAnsi="Arial"/>
                <w:b w:val="0"/>
                <w:i w:val="0"/>
                <w:caps w:val="0"/>
                <w:color w:val="000000"/>
                <w:spacing w:val="0"/>
                <w:sz w:val="24"/>
                <w:highlight w:val="white"/>
              </w:rPr>
              <w:t>"</w:t>
            </w:r>
          </w:p>
        </w:tc>
        <w:tc>
          <w:tcPr>
            <w:tcW w:type="dxa" w:w="38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spacing w:afterAutospacing="on" w:beforeAutospacing="on" w:line="240" w:lineRule="auto"/>
              <w:ind w:firstLine="0" w:left="63"/>
              <w:jc w:val="center"/>
              <w:outlineLvl w:val="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соответствует</w:t>
            </w:r>
          </w:p>
        </w:tc>
      </w:tr>
    </w:tbl>
    <w:p w14:paraId="3B000000">
      <w:pPr>
        <w:pStyle w:val="Style_1"/>
        <w:spacing w:after="0"/>
        <w:ind/>
        <w:rPr>
          <w:rFonts w:ascii="Arial" w:hAnsi="Arial"/>
          <w:sz w:val="24"/>
        </w:rPr>
      </w:pPr>
      <w:r>
        <w:rPr>
          <w:rFonts w:ascii="Arial" w:hAnsi="Arial"/>
          <w:b w:val="1"/>
          <w:sz w:val="24"/>
        </w:rPr>
        <w:t>3.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Решение комиссии:</w:t>
      </w:r>
    </w:p>
    <w:p w14:paraId="3C000000">
      <w:pPr>
        <w:pStyle w:val="Style_3"/>
        <w:spacing w:after="0" w:line="240" w:lineRule="auto"/>
        <w:ind w:firstLine="0" w:left="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3.1. Участники электронного аукциона, соответствующие требованиям Документации об электронном аукционе (пункт 2 настоящего протокола) допускаются к проведению электронного аукциона.</w:t>
      </w:r>
    </w:p>
    <w:p w14:paraId="3D000000">
      <w:pPr>
        <w:pStyle w:val="Style_3"/>
        <w:spacing w:after="0" w:line="240" w:lineRule="auto"/>
        <w:ind w:firstLine="0" w:left="0"/>
        <w:jc w:val="both"/>
        <w:rPr>
          <w:rFonts w:ascii="Arial" w:hAnsi="Arial"/>
          <w:sz w:val="24"/>
        </w:rPr>
      </w:pPr>
    </w:p>
    <w:p w14:paraId="3E000000">
      <w:pPr>
        <w:pStyle w:val="Style_1"/>
        <w:spacing w:after="0"/>
        <w:ind/>
        <w:rPr>
          <w:rFonts w:ascii="Arial" w:hAnsi="Arial"/>
        </w:rPr>
      </w:pPr>
      <w:bookmarkStart w:id="1" w:name="_GoBack"/>
      <w:bookmarkEnd w:id="1"/>
      <w:r>
        <w:rPr>
          <w:rFonts w:ascii="Arial" w:hAnsi="Arial"/>
          <w:b w:val="1"/>
        </w:rPr>
        <w:t>4</w:t>
      </w:r>
      <w:r>
        <w:rPr>
          <w:rFonts w:ascii="Arial" w:hAnsi="Arial"/>
          <w:b w:val="1"/>
        </w:rPr>
        <w:t>.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 Публикация </w:t>
      </w:r>
      <w:r>
        <w:rPr>
          <w:rFonts w:ascii="Arial" w:hAnsi="Arial"/>
        </w:rPr>
        <w:t xml:space="preserve">и хранение </w:t>
      </w:r>
      <w:r>
        <w:rPr>
          <w:rFonts w:ascii="Arial" w:hAnsi="Arial"/>
        </w:rPr>
        <w:t>протокола:</w:t>
      </w:r>
    </w:p>
    <w:p w14:paraId="3F000000">
      <w:pPr>
        <w:spacing w:afterAutospacing="on" w:beforeAutospacing="on" w:line="240" w:lineRule="auto"/>
        <w:ind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Настоящий протокол подлежит </w:t>
      </w:r>
      <w:r>
        <w:rPr>
          <w:rFonts w:ascii="Arial" w:hAnsi="Arial"/>
          <w:sz w:val="24"/>
        </w:rPr>
        <w:t>размещению</w:t>
      </w:r>
      <w:r>
        <w:rPr>
          <w:rFonts w:ascii="Arial" w:hAnsi="Arial"/>
          <w:sz w:val="24"/>
        </w:rPr>
        <w:t xml:space="preserve"> на </w:t>
      </w:r>
      <w:r>
        <w:rPr>
          <w:rFonts w:ascii="Arial" w:hAnsi="Arial"/>
          <w:sz w:val="24"/>
        </w:rPr>
        <w:t xml:space="preserve">сайте </w:t>
      </w:r>
      <w:r>
        <w:rPr>
          <w:rStyle w:val="Style_4_ch"/>
          <w:rFonts w:ascii="Arial" w:hAnsi="Arial"/>
          <w:sz w:val="24"/>
        </w:rPr>
        <w:fldChar w:fldCharType="begin"/>
      </w:r>
      <w:r>
        <w:rPr>
          <w:rStyle w:val="Style_4_ch"/>
          <w:rFonts w:ascii="Arial" w:hAnsi="Arial"/>
          <w:sz w:val="24"/>
        </w:rPr>
        <w:instrText>HYPERLINK "http://www.zakupki.gov.ru"</w:instrText>
      </w:r>
      <w:r>
        <w:rPr>
          <w:rStyle w:val="Style_4_ch"/>
          <w:rFonts w:ascii="Arial" w:hAnsi="Arial"/>
          <w:sz w:val="24"/>
        </w:rPr>
        <w:fldChar w:fldCharType="separate"/>
      </w:r>
      <w:r>
        <w:rPr>
          <w:rStyle w:val="Style_4_ch"/>
          <w:rFonts w:ascii="Arial" w:hAnsi="Arial"/>
          <w:sz w:val="24"/>
        </w:rPr>
        <w:t>www.</w:t>
      </w:r>
      <w:r>
        <w:rPr>
          <w:rStyle w:val="Style_4_ch"/>
          <w:rFonts w:ascii="Arial" w:hAnsi="Arial"/>
          <w:sz w:val="24"/>
        </w:rPr>
        <w:t>zakupki</w:t>
      </w:r>
      <w:r>
        <w:rPr>
          <w:rStyle w:val="Style_4_ch"/>
          <w:rFonts w:ascii="Arial" w:hAnsi="Arial"/>
          <w:sz w:val="24"/>
        </w:rPr>
        <w:t>.</w:t>
      </w:r>
      <w:r>
        <w:rPr>
          <w:rStyle w:val="Style_4_ch"/>
          <w:rFonts w:ascii="Arial" w:hAnsi="Arial"/>
          <w:sz w:val="24"/>
        </w:rPr>
        <w:t>gov</w:t>
      </w:r>
      <w:r>
        <w:rPr>
          <w:rStyle w:val="Style_4_ch"/>
          <w:rFonts w:ascii="Arial" w:hAnsi="Arial"/>
          <w:sz w:val="24"/>
        </w:rPr>
        <w:t>.ru</w:t>
      </w:r>
      <w:r>
        <w:rPr>
          <w:rStyle w:val="Style_4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и на сайте оператора электронной площадки </w:t>
      </w:r>
      <w:r>
        <w:rPr>
          <w:rStyle w:val="Style_4_ch"/>
          <w:rFonts w:ascii="Arial" w:hAnsi="Arial"/>
          <w:sz w:val="24"/>
        </w:rPr>
        <w:fldChar w:fldCharType="begin"/>
      </w:r>
      <w:r>
        <w:rPr>
          <w:rStyle w:val="Style_4_ch"/>
          <w:rFonts w:ascii="Arial" w:hAnsi="Arial"/>
          <w:sz w:val="24"/>
        </w:rPr>
        <w:instrText>HYPERLINK "http://www.fkr.etp-ets.ru"</w:instrText>
      </w:r>
      <w:r>
        <w:rPr>
          <w:rStyle w:val="Style_4_ch"/>
          <w:rFonts w:ascii="Arial" w:hAnsi="Arial"/>
          <w:sz w:val="24"/>
        </w:rPr>
        <w:fldChar w:fldCharType="separate"/>
      </w:r>
      <w:r>
        <w:rPr>
          <w:rStyle w:val="Style_4_ch"/>
          <w:rFonts w:ascii="Arial" w:hAnsi="Arial"/>
          <w:sz w:val="24"/>
        </w:rPr>
        <w:t>www.etp-ets.ru</w:t>
      </w:r>
      <w:r>
        <w:rPr>
          <w:rStyle w:val="Style_4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в </w:t>
      </w:r>
      <w:r>
        <w:rPr>
          <w:rFonts w:ascii="Arial" w:hAnsi="Arial"/>
          <w:sz w:val="24"/>
        </w:rPr>
        <w:t>порядке</w:t>
      </w:r>
      <w:r>
        <w:rPr>
          <w:rFonts w:ascii="Arial" w:hAnsi="Arial"/>
          <w:sz w:val="24"/>
        </w:rPr>
        <w:t xml:space="preserve"> и сроки, установленные По</w:t>
      </w:r>
      <w:r>
        <w:rPr>
          <w:rFonts w:ascii="Arial" w:hAnsi="Arial"/>
          <w:sz w:val="24"/>
        </w:rPr>
        <w:t>ложением</w:t>
      </w:r>
      <w:r>
        <w:rPr>
          <w:rFonts w:ascii="Arial" w:hAnsi="Arial"/>
          <w:sz w:val="24"/>
        </w:rPr>
        <w:t>.</w:t>
      </w:r>
    </w:p>
    <w:p w14:paraId="40000000">
      <w:pPr>
        <w:spacing w:afterAutospacing="on" w:beforeAutospacing="on" w:line="240" w:lineRule="auto"/>
        <w:ind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Подписи членов комиссии, участвующих в заседании:</w:t>
      </w:r>
    </w:p>
    <w:p w14:paraId="41000000">
      <w:pPr>
        <w:spacing w:afterAutospacing="on" w:beforeAutospacing="on" w:line="240" w:lineRule="auto"/>
        <w:ind/>
        <w:jc w:val="both"/>
        <w:rPr>
          <w:rFonts w:ascii="Arial" w:hAnsi="Arial"/>
          <w:sz w:val="24"/>
        </w:rPr>
      </w:pPr>
    </w:p>
    <w:tbl>
      <w:tblPr>
        <w:tblStyle w:val="Style_2"/>
        <w:tblInd w:type="dxa" w:w="-34"/>
        <w:tblLayout w:type="fixed"/>
      </w:tblPr>
      <w:tblGrid>
        <w:gridCol w:w="10099"/>
      </w:tblGrid>
      <w:tr>
        <w:trPr>
          <w:trHeight w:hRule="atLeast" w:val="662"/>
        </w:trPr>
        <w:tc>
          <w:tcPr>
            <w:tcW w:type="dxa" w:w="10099"/>
          </w:tcPr>
          <w:p w14:paraId="42000000">
            <w:pPr>
              <w:spacing w:after="0" w:line="240" w:lineRule="atLeast"/>
              <w:ind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Песков Александр Григорьевич </w:t>
            </w:r>
            <w:r>
              <w:rPr>
                <w:rFonts w:ascii="Arial" w:hAnsi="Arial"/>
                <w:sz w:val="24"/>
              </w:rPr>
              <w:t xml:space="preserve">                                   </w:t>
            </w:r>
            <w:r>
              <w:rPr>
                <w:rFonts w:ascii="Arial" w:hAnsi="Arial"/>
                <w:sz w:val="24"/>
              </w:rPr>
              <w:t xml:space="preserve">   </w:t>
            </w:r>
            <w:r>
              <w:rPr>
                <w:rFonts w:ascii="Arial" w:hAnsi="Arial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___________________</w:t>
            </w:r>
          </w:p>
        </w:tc>
      </w:tr>
      <w:tr>
        <w:trPr>
          <w:trHeight w:hRule="atLeast" w:val="740"/>
        </w:trPr>
        <w:tc>
          <w:tcPr>
            <w:tcW w:type="dxa" w:w="10099"/>
          </w:tcPr>
          <w:p w14:paraId="43000000">
            <w:pPr>
              <w:spacing w:after="0" w:line="240" w:lineRule="atLeast"/>
              <w:ind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Соловьева Елена Александровна</w:t>
            </w:r>
            <w:r>
              <w:rPr>
                <w:rFonts w:ascii="Arial" w:hAnsi="Arial"/>
                <w:sz w:val="24"/>
              </w:rPr>
              <w:t xml:space="preserve">                                    </w:t>
            </w:r>
            <w:r>
              <w:rPr>
                <w:rFonts w:ascii="Arial" w:hAnsi="Arial"/>
                <w:sz w:val="24"/>
              </w:rPr>
              <w:t xml:space="preserve"> </w:t>
            </w:r>
            <w:r>
              <w:rPr>
                <w:rFonts w:ascii="Arial" w:hAnsi="Arial"/>
                <w:sz w:val="24"/>
              </w:rPr>
              <w:t>___________________</w:t>
            </w:r>
          </w:p>
        </w:tc>
      </w:tr>
      <w:tr>
        <w:trPr>
          <w:trHeight w:hRule="atLeast" w:val="740"/>
        </w:trPr>
        <w:tc>
          <w:tcPr>
            <w:tcW w:type="dxa" w:w="10099"/>
          </w:tcPr>
          <w:p w14:paraId="44000000">
            <w:pPr>
              <w:spacing w:after="0" w:line="240" w:lineRule="atLeast"/>
              <w:ind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Вихарева Татьяна Николаевна                                          ___________________</w:t>
            </w:r>
          </w:p>
        </w:tc>
      </w:tr>
      <w:tr>
        <w:trPr>
          <w:trHeight w:hRule="atLeast" w:val="740"/>
        </w:trPr>
        <w:tc>
          <w:tcPr>
            <w:tcW w:type="dxa" w:w="10099"/>
          </w:tcPr>
          <w:p w14:paraId="45000000">
            <w:pPr>
              <w:spacing w:after="0" w:line="240" w:lineRule="atLeast"/>
              <w:ind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Дашкова Светлана Сергеевна                                           ___________________</w:t>
            </w:r>
          </w:p>
        </w:tc>
      </w:tr>
    </w:tbl>
    <w:p w14:paraId="46000000">
      <w:pPr>
        <w:rPr>
          <w:rFonts w:ascii="Arial" w:hAnsi="Arial"/>
          <w:sz w:val="24"/>
        </w:rPr>
      </w:pPr>
    </w:p>
    <w:p w14:paraId="47000000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Дата </w:t>
      </w:r>
      <w:r>
        <w:rPr>
          <w:rFonts w:ascii="Arial" w:hAnsi="Arial"/>
          <w:sz w:val="24"/>
        </w:rPr>
        <w:t>подписания протокола «</w:t>
      </w:r>
      <w:r>
        <w:rPr>
          <w:rFonts w:ascii="Arial" w:hAnsi="Arial"/>
          <w:sz w:val="24"/>
        </w:rPr>
        <w:t>10</w:t>
      </w:r>
      <w:r>
        <w:rPr>
          <w:rFonts w:ascii="Arial" w:hAnsi="Arial"/>
          <w:sz w:val="24"/>
        </w:rPr>
        <w:t>» июл</w:t>
      </w:r>
      <w:r>
        <w:rPr>
          <w:rFonts w:ascii="Arial" w:hAnsi="Arial"/>
          <w:sz w:val="24"/>
        </w:rPr>
        <w:t>я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20</w:t>
      </w:r>
      <w:r>
        <w:rPr>
          <w:rFonts w:ascii="Arial" w:hAnsi="Arial"/>
          <w:sz w:val="24"/>
        </w:rPr>
        <w:t>23</w:t>
      </w:r>
      <w:r>
        <w:rPr>
          <w:rFonts w:ascii="Arial" w:hAnsi="Arial"/>
          <w:sz w:val="24"/>
        </w:rPr>
        <w:t>г.</w:t>
      </w:r>
    </w:p>
    <w:sectPr>
      <w:pgSz w:h="16838" w:orient="portrait" w:w="11906"/>
      <w:pgMar w:bottom="709" w:footer="708" w:gutter="0" w:header="708" w:left="1134" w:right="707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360"/>
      </w:pPr>
      <w:rPr>
        <w:b w:val="1"/>
        <w:sz w:val="22"/>
      </w:rPr>
    </w:lvl>
    <w:lvl w:ilvl="1">
      <w:start w:val="1"/>
      <w:numFmt w:val="decimal"/>
      <w:lvlText w:val="%1.%2."/>
      <w:lvlJc w:val="left"/>
      <w:pPr>
        <w:ind w:hanging="360" w:left="720"/>
      </w:pPr>
    </w:lvl>
    <w:lvl w:ilvl="2">
      <w:start w:val="1"/>
      <w:numFmt w:val="decimal"/>
      <w:lvlText w:val="%1.%2.%3."/>
      <w:lvlJc w:val="left"/>
      <w:pPr>
        <w:ind w:hanging="720" w:left="1440"/>
      </w:pPr>
    </w:lvl>
    <w:lvl w:ilvl="3">
      <w:start w:val="1"/>
      <w:numFmt w:val="decimal"/>
      <w:lvlText w:val="%1.%2.%3.%4."/>
      <w:lvlJc w:val="left"/>
      <w:pPr>
        <w:ind w:hanging="720" w:left="1800"/>
      </w:pPr>
    </w:lvl>
    <w:lvl w:ilvl="4">
      <w:start w:val="1"/>
      <w:numFmt w:val="decimal"/>
      <w:lvlText w:val="%1.%2.%3.%4.%5."/>
      <w:lvlJc w:val="left"/>
      <w:pPr>
        <w:ind w:hanging="1080" w:left="2520"/>
      </w:pPr>
    </w:lvl>
    <w:lvl w:ilvl="5">
      <w:start w:val="1"/>
      <w:numFmt w:val="decimal"/>
      <w:lvlText w:val="%1.%2.%3.%4.%5.%6."/>
      <w:lvlJc w:val="left"/>
      <w:pPr>
        <w:ind w:hanging="1080" w:left="2880"/>
      </w:pPr>
    </w:lvl>
    <w:lvl w:ilvl="6">
      <w:start w:val="1"/>
      <w:numFmt w:val="decimal"/>
      <w:lvlText w:val="%1.%2.%3.%4.%5.%6.%7."/>
      <w:lvlJc w:val="left"/>
      <w:pPr>
        <w:ind w:hanging="1440" w:left="3600"/>
      </w:pPr>
    </w:lvl>
    <w:lvl w:ilvl="7">
      <w:start w:val="1"/>
      <w:numFmt w:val="decimal"/>
      <w:lvlText w:val="%1.%2.%3.%4.%5.%6.%7.%8."/>
      <w:lvlJc w:val="left"/>
      <w:pPr>
        <w:ind w:hanging="1440" w:left="3960"/>
      </w:pPr>
    </w:lvl>
    <w:lvl w:ilvl="8">
      <w:start w:val="1"/>
      <w:numFmt w:val="decimal"/>
      <w:lvlText w:val="%1.%2.%3.%4.%5.%6.%7.%8.%9."/>
      <w:lvlJc w:val="left"/>
      <w:pPr>
        <w:ind w:hanging="1800" w:left="46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offset251"/>
    <w:basedOn w:val="Style_6"/>
    <w:link w:val="Style_7_ch"/>
    <w:pPr>
      <w:spacing w:afterAutospacing="on" w:beforeAutospacing="on" w:line="240" w:lineRule="auto"/>
      <w:ind w:firstLine="0" w:left="375"/>
    </w:pPr>
    <w:rPr>
      <w:rFonts w:ascii="Times New Roman" w:hAnsi="Times New Roman"/>
      <w:sz w:val="24"/>
    </w:rPr>
  </w:style>
  <w:style w:styleId="Style_7_ch" w:type="character">
    <w:name w:val="offset251"/>
    <w:basedOn w:val="Style_6_ch"/>
    <w:link w:val="Style_7"/>
    <w:rPr>
      <w:rFonts w:ascii="Times New Roman" w:hAnsi="Times New Roman"/>
      <w:sz w:val="24"/>
    </w:rPr>
  </w:style>
  <w:style w:styleId="Style_1" w:type="paragraph">
    <w:name w:val="Normal (Web)"/>
    <w:basedOn w:val="Style_6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6_ch"/>
    <w:link w:val="Style_1"/>
    <w:rPr>
      <w:rFonts w:ascii="Times New Roman" w:hAnsi="Times New Roman"/>
      <w:sz w:val="24"/>
    </w:rPr>
  </w:style>
  <w:style w:styleId="Style_8" w:type="paragraph">
    <w:name w:val="toc 2"/>
    <w:next w:val="Style_6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6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6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heading 3"/>
    <w:basedOn w:val="Style_6"/>
    <w:link w:val="Style_12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12_ch" w:type="character">
    <w:name w:val="heading 3"/>
    <w:basedOn w:val="Style_6_ch"/>
    <w:link w:val="Style_12"/>
    <w:rPr>
      <w:rFonts w:ascii="Times New Roman" w:hAnsi="Times New Roman"/>
      <w:b w:val="1"/>
      <w:sz w:val="27"/>
    </w:rPr>
  </w:style>
  <w:style w:styleId="Style_3" w:type="paragraph">
    <w:name w:val="List Paragraph"/>
    <w:basedOn w:val="Style_6"/>
    <w:link w:val="Style_3_ch"/>
    <w:pPr>
      <w:ind w:firstLine="0" w:left="720"/>
      <w:contextualSpacing w:val="1"/>
    </w:pPr>
  </w:style>
  <w:style w:styleId="Style_3_ch" w:type="character">
    <w:name w:val="List Paragraph"/>
    <w:basedOn w:val="Style_6_ch"/>
    <w:link w:val="Style_3"/>
  </w:style>
  <w:style w:styleId="Style_13" w:type="paragraph">
    <w:name w:val="toc 3"/>
    <w:next w:val="Style_6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6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6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4" w:type="paragraph">
    <w:name w:val="Hyperlink"/>
    <w:basedOn w:val="Style_16"/>
    <w:link w:val="Style_4_ch"/>
    <w:rPr>
      <w:color w:themeColor="hyperlink" w:val="0000FF"/>
      <w:u w:val="single"/>
    </w:rPr>
  </w:style>
  <w:style w:styleId="Style_4_ch" w:type="character">
    <w:name w:val="Hyperlink"/>
    <w:basedOn w:val="Style_16_ch"/>
    <w:link w:val="Style_4"/>
    <w:rPr>
      <w:color w:themeColor="hyperlink"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6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6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6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22" w:type="paragraph">
    <w:name w:val="toc 5"/>
    <w:next w:val="Style_6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6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6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6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6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Balloon Text"/>
    <w:basedOn w:val="Style_6"/>
    <w:link w:val="Style_27_ch"/>
    <w:pPr>
      <w:spacing w:after="0" w:line="240" w:lineRule="auto"/>
      <w:ind/>
    </w:pPr>
    <w:rPr>
      <w:rFonts w:ascii="Tahoma" w:hAnsi="Tahoma"/>
      <w:sz w:val="16"/>
    </w:rPr>
  </w:style>
  <w:style w:styleId="Style_27_ch" w:type="character">
    <w:name w:val="Balloon Text"/>
    <w:basedOn w:val="Style_6_ch"/>
    <w:link w:val="Style_27"/>
    <w:rPr>
      <w:rFonts w:ascii="Tahoma" w:hAnsi="Tahoma"/>
      <w:sz w:val="16"/>
    </w:rPr>
  </w:style>
  <w:style w:styleId="Style_5" w:type="table">
    <w:name w:val="Table Grid"/>
    <w:basedOn w:val="Style_2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2023-07-10T08:30:50Z</dcterms:modified>
</cp:coreProperties>
</file>