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9.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footer5.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er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footer8.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BNameoftheContract"/>
        <w:spacing w:before="0" w:after="0"/>
        <w:ind w:firstLine="709"/>
        <w:rPr/>
      </w:pPr>
      <w:r>
        <w:rPr/>
        <w:t>ГОСУДАРСТВЕННЫЙ Контракт № ______</w:t>
      </w:r>
    </w:p>
    <w:p>
      <w:pPr>
        <w:pStyle w:val="Normal"/>
        <w:widowControl/>
        <w:tabs>
          <w:tab w:val="clear" w:pos="708"/>
          <w:tab w:val="left" w:pos="1701" w:leader="none"/>
        </w:tabs>
        <w:suppressAutoHyphens w:val="true"/>
        <w:bidi w:val="0"/>
        <w:spacing w:lineRule="auto" w:line="240" w:before="0" w:after="0"/>
        <w:ind w:hanging="0" w:left="0" w:right="0"/>
        <w:jc w:val="center"/>
        <w:textAlignment w:val="baseline"/>
        <w:rPr>
          <w:rFonts w:ascii="Times New Roman" w:hAnsi="Times New Roman"/>
          <w:b/>
        </w:rPr>
      </w:pPr>
      <w:r>
        <w:rPr>
          <w:rFonts w:ascii="Times New Roman" w:hAnsi="Times New Roman"/>
          <w:b/>
        </w:rPr>
        <w:t xml:space="preserve">на оказание услуг </w:t>
      </w:r>
      <w:r>
        <w:rPr>
          <w:rFonts w:cs="Times New Roman" w:ascii="Times New Roman" w:hAnsi="Times New Roman"/>
          <w:b/>
          <w:bCs/>
          <w:sz w:val="22"/>
        </w:rPr>
        <w:t>по передаче лицензии на использование программного обеспечения антивирусной защиты</w:t>
      </w:r>
      <w:r>
        <w:rPr>
          <w:rStyle w:val="highlightcolor"/>
          <w:rFonts w:cs="Times New Roman" w:ascii="Times New Roman" w:hAnsi="Times New Roman"/>
          <w:b/>
          <w:bCs/>
          <w:sz w:val="22"/>
        </w:rPr>
        <w:t xml:space="preserve"> Kaspersky</w:t>
      </w:r>
      <w:r>
        <w:rPr>
          <w:rFonts w:cs="Times New Roman" w:ascii="Times New Roman" w:hAnsi="Times New Roman"/>
          <w:b/>
          <w:bCs/>
          <w:sz w:val="22"/>
        </w:rPr>
        <w:t xml:space="preserve"> Endpoint Security для бизнеса – Стандартный</w:t>
      </w:r>
    </w:p>
    <w:p>
      <w:pPr>
        <w:pStyle w:val="Normal"/>
        <w:spacing w:lineRule="auto" w:line="240" w:before="0" w:after="0"/>
        <w:ind w:firstLine="709"/>
        <w:jc w:val="center"/>
        <w:rPr/>
      </w:pPr>
      <w:r>
        <w:rPr>
          <w:rFonts w:ascii="Times New Roman" w:hAnsi="Times New Roman"/>
        </w:rPr>
        <w:t xml:space="preserve">Идентификационный код закупки </w:t>
      </w:r>
      <w:r>
        <w:rPr>
          <w:rFonts w:ascii="Times New Roman" w:hAnsi="Times New Roman"/>
          <w:lang w:eastAsia="ru-RU"/>
        </w:rPr>
        <w:t>__________________________________</w:t>
      </w:r>
    </w:p>
    <w:p>
      <w:pPr>
        <w:pStyle w:val="Normal"/>
        <w:spacing w:lineRule="auto" w:line="240" w:before="0" w:after="0"/>
        <w:ind w:firstLine="709"/>
        <w:jc w:val="center"/>
        <w:rPr>
          <w:rFonts w:ascii="Times New Roman" w:hAnsi="Times New Roman"/>
          <w:lang w:eastAsia="ru-RU"/>
        </w:rPr>
      </w:pPr>
      <w:r>
        <w:rPr>
          <w:rFonts w:ascii="Times New Roman" w:hAnsi="Times New Roman"/>
          <w:lang w:eastAsia="ru-RU"/>
        </w:rPr>
      </w:r>
    </w:p>
    <w:tbl>
      <w:tblPr>
        <w:tblW w:w="9606" w:type="dxa"/>
        <w:jc w:val="left"/>
        <w:tblInd w:w="-45" w:type="dxa"/>
        <w:tblLayout w:type="fixed"/>
        <w:tblCellMar>
          <w:top w:w="0" w:type="dxa"/>
          <w:left w:w="108" w:type="dxa"/>
          <w:bottom w:w="0" w:type="dxa"/>
          <w:right w:w="108" w:type="dxa"/>
        </w:tblCellMar>
        <w:tblLook w:val="0000" w:noHBand="0" w:noVBand="0" w:firstColumn="0" w:lastRow="0" w:lastColumn="0" w:firstRow="0"/>
      </w:tblPr>
      <w:tblGrid>
        <w:gridCol w:w="4783"/>
        <w:gridCol w:w="4822"/>
      </w:tblGrid>
      <w:tr>
        <w:trPr/>
        <w:tc>
          <w:tcPr>
            <w:tcW w:w="4783" w:type="dxa"/>
            <w:tcBorders/>
          </w:tcPr>
          <w:p>
            <w:pPr>
              <w:pStyle w:val="BodyText1"/>
              <w:widowControl/>
              <w:suppressAutoHyphens w:val="true"/>
              <w:bidi w:val="0"/>
              <w:spacing w:lineRule="auto" w:line="240" w:before="0" w:after="0"/>
              <w:ind w:firstLine="57" w:left="0" w:right="0"/>
              <w:jc w:val="left"/>
              <w:textAlignment w:val="baseline"/>
              <w:rPr>
                <w:lang w:val="ru-RU"/>
              </w:rPr>
            </w:pPr>
            <w:r>
              <w:rPr>
                <w:rFonts w:ascii="Times New Roman" w:hAnsi="Times New Roman"/>
                <w:szCs w:val="22"/>
                <w:lang w:val="ru-RU"/>
              </w:rPr>
              <w:t>г. Волгоград</w:t>
            </w:r>
          </w:p>
        </w:tc>
        <w:tc>
          <w:tcPr>
            <w:tcW w:w="4822" w:type="dxa"/>
            <w:tcBorders/>
          </w:tcPr>
          <w:p>
            <w:pPr>
              <w:pStyle w:val="BodyText1"/>
              <w:spacing w:before="0" w:after="0"/>
              <w:ind w:firstLine="709"/>
              <w:jc w:val="right"/>
              <w:rPr>
                <w:lang w:val="ru-RU"/>
              </w:rPr>
            </w:pPr>
            <w:r>
              <w:rPr>
                <w:rFonts w:ascii="Times New Roman" w:hAnsi="Times New Roman"/>
                <w:color w:val="000000"/>
                <w:szCs w:val="22"/>
                <w:lang w:val="ru-RU" w:eastAsia="ru-RU"/>
              </w:rPr>
              <w:t>«____»__________ 2026</w:t>
            </w:r>
            <w:r>
              <w:rPr>
                <w:rFonts w:ascii="Times New Roman" w:hAnsi="Times New Roman"/>
                <w:szCs w:val="22"/>
                <w:lang w:val="ru-RU"/>
              </w:rPr>
              <w:t xml:space="preserve"> г.</w:t>
            </w:r>
          </w:p>
        </w:tc>
      </w:tr>
    </w:tbl>
    <w:p>
      <w:pPr>
        <w:pStyle w:val="LBBodyText1"/>
        <w:spacing w:before="0" w:after="0"/>
        <w:ind w:firstLine="709"/>
        <w:rPr>
          <w:b/>
          <w:szCs w:val="22"/>
          <w:highlight w:val="yellow"/>
        </w:rPr>
      </w:pPr>
      <w:r>
        <w:rPr>
          <w:b/>
          <w:szCs w:val="22"/>
          <w:highlight w:val="yellow"/>
        </w:rPr>
      </w:r>
    </w:p>
    <w:p>
      <w:pPr>
        <w:pStyle w:val="LBBodyText1"/>
        <w:spacing w:before="0" w:after="0"/>
        <w:ind w:firstLine="709"/>
        <w:rPr/>
      </w:pPr>
      <w:r>
        <w:rPr>
          <w:b/>
          <w:bCs/>
          <w:color w:val="000000"/>
          <w:kern w:val="2"/>
          <w:szCs w:val="22"/>
          <w:lang w:eastAsia="ru-RU"/>
        </w:rPr>
        <w:t>Государственное казенное учреждение "Центр сопровождения закупок государственных учреждений здравоохранения Волгоградской области"</w:t>
      </w:r>
      <w:r>
        <w:rPr>
          <w:color w:val="000000"/>
          <w:kern w:val="2"/>
          <w:szCs w:val="22"/>
          <w:lang w:eastAsia="ru-RU"/>
        </w:rPr>
        <w:t>, именуемый в дальнейшем "Заказчик", в лице заместителя директора по организации закупок Сухова Андрея Андреевича, действующего на основании доверенности № 1 от 03.10.2025, действующего на основании Устава, с одной стороны,</w:t>
      </w:r>
    </w:p>
    <w:p>
      <w:pPr>
        <w:pStyle w:val="LBBodyText1"/>
        <w:spacing w:before="0" w:after="0"/>
        <w:ind w:firstLine="709"/>
        <w:rPr/>
      </w:pPr>
      <w:r>
        <w:rPr>
          <w:color w:val="000000"/>
          <w:kern w:val="2"/>
          <w:szCs w:val="22"/>
          <w:lang w:eastAsia="ru-RU"/>
        </w:rPr>
        <w:t>и _______________________________________, именуемый в дальнейшем "Исполнитель", в лице ______________, действующего на основании _______________, с другой стороны, вместе именуемые "</w:t>
      </w:r>
      <w:r>
        <w:rPr>
          <w:b/>
          <w:bCs/>
          <w:color w:val="000000"/>
          <w:kern w:val="2"/>
          <w:szCs w:val="22"/>
          <w:lang w:eastAsia="ru-RU"/>
        </w:rPr>
        <w:t>Стороны</w:t>
      </w:r>
      <w:r>
        <w:rPr>
          <w:b w:val="false"/>
          <w:bCs w:val="false"/>
          <w:color w:val="000000"/>
          <w:kern w:val="2"/>
          <w:szCs w:val="22"/>
          <w:lang w:eastAsia="ru-RU"/>
        </w:rPr>
        <w:t>"</w:t>
      </w:r>
      <w:r>
        <w:rPr>
          <w:color w:val="000000"/>
          <w:kern w:val="2"/>
          <w:szCs w:val="22"/>
          <w:lang w:eastAsia="ru-RU"/>
        </w:rPr>
        <w:t xml:space="preserve">, </w:t>
      </w:r>
      <w:r>
        <w:rPr>
          <w:color w:val="000000"/>
          <w:kern w:val="2"/>
          <w:sz w:val="22"/>
          <w:szCs w:val="22"/>
          <w:lang w:eastAsia="ru-RU"/>
        </w:rPr>
        <w:t xml:space="preserve">в порядке </w:t>
      </w:r>
      <w:r>
        <w:rPr>
          <w:color w:val="000000"/>
          <w:kern w:val="2"/>
          <w:sz w:val="22"/>
          <w:szCs w:val="22"/>
          <w:shd w:fill="auto" w:val="clear"/>
          <w:lang w:eastAsia="ru-RU"/>
        </w:rPr>
        <w:t>п. 4 ч. 1 ст. 93</w:t>
      </w:r>
      <w:r>
        <w:rPr>
          <w:color w:val="000000"/>
          <w:kern w:val="2"/>
          <w:sz w:val="22"/>
          <w:szCs w:val="22"/>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w:t>
      </w:r>
      <w:r>
        <w:rPr>
          <w:b/>
          <w:color w:val="000000"/>
          <w:kern w:val="2"/>
          <w:sz w:val="22"/>
          <w:szCs w:val="22"/>
          <w:lang w:eastAsia="ru-RU"/>
        </w:rPr>
        <w:t>Закон № 44-ФЗ</w:t>
      </w:r>
      <w:r>
        <w:rPr>
          <w:b w:val="false"/>
          <w:bCs w:val="false"/>
          <w:color w:val="000000"/>
          <w:kern w:val="2"/>
          <w:sz w:val="22"/>
          <w:szCs w:val="22"/>
          <w:lang w:eastAsia="ru-RU"/>
        </w:rPr>
        <w:t>"</w:t>
      </w:r>
      <w:r>
        <w:rPr>
          <w:color w:val="000000"/>
          <w:kern w:val="2"/>
          <w:sz w:val="22"/>
          <w:szCs w:val="22"/>
          <w:lang w:eastAsia="ru-RU"/>
        </w:rPr>
        <w:t xml:space="preserve">), </w:t>
      </w:r>
      <w:r>
        <w:rPr>
          <w:color w:val="000000"/>
          <w:kern w:val="2"/>
          <w:szCs w:val="22"/>
          <w:lang w:eastAsia="ru-RU"/>
        </w:rPr>
        <w:t>заключили настоящий государственный контракт (далее – "</w:t>
      </w:r>
      <w:r>
        <w:rPr>
          <w:b/>
          <w:color w:val="000000"/>
          <w:kern w:val="2"/>
          <w:szCs w:val="22"/>
          <w:lang w:eastAsia="ru-RU"/>
        </w:rPr>
        <w:t>Контракт</w:t>
      </w:r>
      <w:r>
        <w:rPr>
          <w:b w:val="false"/>
          <w:bCs w:val="false"/>
          <w:color w:val="000000"/>
          <w:kern w:val="2"/>
          <w:szCs w:val="22"/>
          <w:lang w:eastAsia="ru-RU"/>
        </w:rPr>
        <w:t>"</w:t>
      </w:r>
      <w:r>
        <w:rPr>
          <w:color w:val="000000"/>
          <w:kern w:val="2"/>
          <w:szCs w:val="22"/>
          <w:lang w:eastAsia="ru-RU"/>
        </w:rPr>
        <w:t>) о нижеследующем:</w:t>
      </w:r>
    </w:p>
    <w:p>
      <w:pPr>
        <w:pStyle w:val="LBBodyText1"/>
        <w:spacing w:before="0" w:after="0"/>
        <w:ind w:firstLine="709"/>
        <w:rPr>
          <w:color w:val="000000"/>
          <w:kern w:val="2"/>
          <w:szCs w:val="22"/>
          <w:lang w:eastAsia="ru-RU"/>
        </w:rPr>
      </w:pPr>
      <w:r>
        <w:rPr>
          <w:color w:val="000000"/>
          <w:kern w:val="2"/>
          <w:szCs w:val="22"/>
          <w:lang w:eastAsia="ru-RU"/>
        </w:rPr>
      </w:r>
    </w:p>
    <w:p>
      <w:pPr>
        <w:pStyle w:val="LBGovstyle1"/>
        <w:widowControl/>
        <w:numPr>
          <w:ilvl w:val="0"/>
          <w:numId w:val="167"/>
        </w:numPr>
        <w:suppressAutoHyphens w:val="true"/>
        <w:bidi w:val="0"/>
        <w:spacing w:before="0" w:after="0"/>
        <w:ind w:firstLine="737" w:left="0" w:right="0"/>
        <w:jc w:val="left"/>
        <w:textAlignment w:val="baseline"/>
        <w:rPr/>
      </w:pPr>
      <w:r>
        <w:rPr/>
        <w:t>Предмет контракта</w:t>
      </w:r>
    </w:p>
    <w:p>
      <w:pPr>
        <w:pStyle w:val="LBGovstyle2"/>
        <w:numPr>
          <w:ilvl w:val="1"/>
          <w:numId w:val="168"/>
        </w:numPr>
        <w:spacing w:before="0" w:after="0"/>
        <w:ind w:firstLine="709" w:left="0"/>
        <w:rPr>
          <w:lang w:val="ru-RU"/>
        </w:rPr>
      </w:pPr>
      <w:r>
        <w:rPr>
          <w:bCs/>
          <w:lang w:val="ru-RU"/>
        </w:rPr>
        <w:t>Исполнитель обязуется своевременно на условиях Контракта</w:t>
      </w:r>
      <w:r>
        <w:rPr>
          <w:lang w:val="ru-RU"/>
        </w:rPr>
        <w:t xml:space="preserve"> оказать услуги </w:t>
      </w:r>
      <w:r>
        <w:rPr>
          <w:rFonts w:cs="Times New Roman"/>
          <w:b/>
          <w:bCs/>
          <w:sz w:val="22"/>
          <w:lang w:val="ru-RU"/>
        </w:rPr>
        <w:t>по передаче лицензии на использование программного обеспечения антивирусной защиты</w:t>
      </w:r>
      <w:r>
        <w:rPr>
          <w:rStyle w:val="highlightcolor"/>
          <w:rFonts w:cs="Times New Roman"/>
          <w:b/>
          <w:bCs/>
          <w:sz w:val="22"/>
          <w:lang w:val="ru-RU"/>
        </w:rPr>
        <w:t xml:space="preserve"> Kaspersky</w:t>
      </w:r>
      <w:r>
        <w:rPr>
          <w:rFonts w:cs="Times New Roman"/>
          <w:b/>
          <w:bCs/>
          <w:sz w:val="22"/>
          <w:lang w:val="ru-RU"/>
        </w:rPr>
        <w:t xml:space="preserve"> Endpoint Security для бизнеса – Стандартный</w:t>
      </w:r>
      <w:r>
        <w:rPr>
          <w:lang w:val="ru-RU"/>
        </w:rPr>
        <w:t xml:space="preserve">  (далее – "</w:t>
      </w:r>
      <w:r>
        <w:rPr>
          <w:b/>
          <w:bCs/>
          <w:lang w:val="ru-RU"/>
        </w:rPr>
        <w:t>услуги</w:t>
      </w:r>
      <w:r>
        <w:rPr>
          <w:b w:val="false"/>
          <w:bCs w:val="false"/>
          <w:lang w:val="ru-RU"/>
        </w:rPr>
        <w:t>"</w:t>
      </w:r>
      <w:r>
        <w:rPr>
          <w:lang w:val="ru-RU"/>
        </w:rPr>
        <w:t>), а Заказчик обязуется принять и оплатить их.</w:t>
      </w:r>
    </w:p>
    <w:p>
      <w:pPr>
        <w:pStyle w:val="LBGovstyle2"/>
        <w:numPr>
          <w:ilvl w:val="1"/>
          <w:numId w:val="169"/>
        </w:numPr>
        <w:spacing w:before="0" w:after="0"/>
        <w:ind w:firstLine="709" w:left="0"/>
        <w:rPr>
          <w:lang w:val="ru-RU"/>
        </w:rPr>
      </w:pPr>
      <w:r>
        <w:rPr>
          <w:lang w:val="ru-RU"/>
        </w:rPr>
        <w:t>Состав и объем услуг определяется в Спецификации (Приложение № 1) и Описании объекта закупки (Приложение №2), являющихся неотъемлемой частью настоящего Контракта).</w:t>
      </w:r>
    </w:p>
    <w:p>
      <w:pPr>
        <w:pStyle w:val="LBGovstyle2"/>
        <w:numPr>
          <w:ilvl w:val="1"/>
          <w:numId w:val="170"/>
        </w:numPr>
        <w:spacing w:before="0" w:after="0"/>
        <w:ind w:firstLine="709" w:left="0"/>
        <w:rPr>
          <w:lang w:val="ru-RU"/>
        </w:rPr>
      </w:pPr>
      <w:r>
        <w:rPr>
          <w:lang w:val="ru-RU"/>
        </w:rPr>
        <w:t>Услуги должны оказываться с учетом требований действующего законодательства Российской Федерации.</w:t>
      </w:r>
    </w:p>
    <w:p>
      <w:pPr>
        <w:pStyle w:val="LBGovstyle2"/>
        <w:numPr>
          <w:ilvl w:val="1"/>
          <w:numId w:val="171"/>
        </w:numPr>
        <w:spacing w:before="0" w:after="0"/>
        <w:ind w:firstLine="709" w:left="0"/>
        <w:rPr/>
      </w:pPr>
      <w:r>
        <w:rPr>
          <w:lang w:val="ru-RU"/>
        </w:rPr>
        <w:t>Место оказания услуг: Российская Федерация, 400119, Волгоградская обл.,</w:t>
        <w:br/>
        <w:t>г. Волгоград, ул. Туркменская, дом 6 (далее – "</w:t>
      </w:r>
      <w:r>
        <w:rPr>
          <w:b/>
          <w:lang w:val="ru-RU"/>
        </w:rPr>
        <w:t>Место оказания услуг"</w:t>
      </w:r>
      <w:r>
        <w:rPr>
          <w:lang w:val="ru-RU"/>
        </w:rPr>
        <w:t>).</w:t>
      </w:r>
    </w:p>
    <w:p>
      <w:pPr>
        <w:pStyle w:val="Normal"/>
        <w:widowControl w:val="false"/>
        <w:numPr>
          <w:ilvl w:val="1"/>
          <w:numId w:val="172"/>
        </w:numPr>
        <w:tabs>
          <w:tab w:val="clear" w:pos="708"/>
          <w:tab w:val="left" w:pos="0" w:leader="none"/>
        </w:tabs>
        <w:spacing w:lineRule="auto" w:line="240" w:before="0" w:after="0"/>
        <w:ind w:firstLine="709" w:left="0"/>
        <w:jc w:val="both"/>
        <w:textAlignment w:val="auto"/>
        <w:rPr/>
      </w:pPr>
      <w:r>
        <w:rPr>
          <w:rFonts w:ascii="Times New Roman" w:hAnsi="Times New Roman"/>
          <w:lang w:val="x-none" w:eastAsia="ar-SA"/>
        </w:rPr>
        <w:t>Изменение предмета Контракта не допускается.</w:t>
      </w:r>
    </w:p>
    <w:p>
      <w:pPr>
        <w:pStyle w:val="LBGovstyle2"/>
        <w:spacing w:before="0" w:after="0"/>
        <w:ind w:firstLine="709"/>
        <w:rPr>
          <w:lang w:val="ru-RU"/>
        </w:rPr>
      </w:pPr>
      <w:r>
        <w:rPr>
          <w:lang w:val="ru-RU"/>
        </w:rPr>
      </w:r>
    </w:p>
    <w:p>
      <w:pPr>
        <w:pStyle w:val="LBGovstyle1"/>
        <w:numPr>
          <w:ilvl w:val="0"/>
          <w:numId w:val="173"/>
        </w:numPr>
        <w:spacing w:before="0" w:after="0"/>
        <w:ind w:firstLine="709" w:left="0"/>
        <w:rPr/>
      </w:pPr>
      <w:r>
        <w:rPr/>
        <w:t>Цена контракта и порядок расчетов</w:t>
      </w:r>
    </w:p>
    <w:p>
      <w:pPr>
        <w:pStyle w:val="LBGovstyle2"/>
        <w:numPr>
          <w:ilvl w:val="1"/>
          <w:numId w:val="174"/>
        </w:numPr>
        <w:spacing w:before="0" w:after="0"/>
        <w:ind w:firstLine="709" w:left="0"/>
        <w:rPr>
          <w:lang w:val="ru-RU"/>
        </w:rPr>
      </w:pPr>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pPr>
        <w:pStyle w:val="LBBodyText2"/>
        <w:spacing w:before="0" w:after="0"/>
        <w:ind w:firstLine="709" w:left="0"/>
        <w:rPr/>
      </w:pPr>
      <w:r>
        <w:rPr>
          <w:szCs w:val="22"/>
        </w:rPr>
        <w:t xml:space="preserve">Цена Контракта составляет _______________(________) рублей__ копеек, в том числе НДС __% в сумме _______________(________) рублей__ копеек </w:t>
      </w:r>
      <w:r>
        <w:rPr>
          <w:i/>
          <w:szCs w:val="22"/>
        </w:rPr>
        <w:t>(НДС не облагается на основании ______________ Налогового кодекса Российской Федерации и ____________)</w:t>
      </w:r>
      <w:r>
        <w:rPr>
          <w:szCs w:val="22"/>
        </w:rPr>
        <w:t>.</w:t>
      </w:r>
    </w:p>
    <w:p>
      <w:pPr>
        <w:pStyle w:val="LBGovstyle2"/>
        <w:numPr>
          <w:ilvl w:val="1"/>
          <w:numId w:val="175"/>
        </w:numPr>
        <w:spacing w:before="0" w:after="0"/>
        <w:ind w:firstLine="709" w:left="0"/>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LBGovstyle2"/>
        <w:numPr>
          <w:ilvl w:val="1"/>
          <w:numId w:val="176"/>
        </w:numPr>
        <w:spacing w:before="0" w:after="0"/>
        <w:ind w:firstLine="709" w:left="0"/>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pPr>
        <w:pStyle w:val="LBGovstyle2"/>
        <w:numPr>
          <w:ilvl w:val="1"/>
          <w:numId w:val="177"/>
        </w:numPr>
        <w:spacing w:before="0" w:after="0"/>
        <w:ind w:firstLine="709" w:left="0"/>
        <w:rPr>
          <w:lang w:val="ru-RU"/>
        </w:rPr>
      </w:pPr>
      <w:r>
        <w:rPr>
          <w:lang w:val="ru-RU"/>
        </w:rPr>
        <w:t>По согласованию Сторон в ходе исполнения Контракта допускается снижение цены Контракта без изменения предусмотренного Контрактом объема услуг, качества оказываемых услуг и иных условий Контракта.</w:t>
      </w:r>
    </w:p>
    <w:p>
      <w:pPr>
        <w:pStyle w:val="LBGovstyle2"/>
        <w:numPr>
          <w:ilvl w:val="1"/>
          <w:numId w:val="178"/>
        </w:numPr>
        <w:spacing w:before="0" w:after="0"/>
        <w:ind w:firstLine="709" w:left="0"/>
        <w:rPr>
          <w:lang w:val="ru-RU"/>
        </w:rPr>
      </w:pPr>
      <w:r>
        <w:rPr>
          <w:lang w:val="ru-RU"/>
        </w:rPr>
        <w:t>Оплата по Контракту производится в следующем порядке:</w:t>
      </w:r>
    </w:p>
    <w:p>
      <w:pPr>
        <w:pStyle w:val="LBGovstyle3"/>
        <w:numPr>
          <w:ilvl w:val="2"/>
          <w:numId w:val="179"/>
        </w:numPr>
        <w:spacing w:before="0" w:after="0"/>
        <w:ind w:firstLine="709" w:left="0"/>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Исполнителя.</w:t>
      </w:r>
    </w:p>
    <w:p>
      <w:pPr>
        <w:pStyle w:val="LBGovstyle3"/>
        <w:numPr>
          <w:ilvl w:val="2"/>
          <w:numId w:val="180"/>
        </w:numPr>
        <w:spacing w:before="0" w:after="0"/>
        <w:ind w:firstLine="709" w:left="0"/>
        <w:rPr>
          <w:lang w:val="ru-RU"/>
        </w:rPr>
      </w:pPr>
      <w:r>
        <w:rPr>
          <w:lang w:val="ru-RU"/>
        </w:rPr>
        <w:t>Оплата осуществляется в рублях Российской Федерации за счет средств бюджета Волгоградской области на 2026 год</w:t>
      </w:r>
      <w:r>
        <w:rPr>
          <w:rStyle w:val="Style7"/>
          <w:sz w:val="22"/>
          <w:lang w:val="ru-RU"/>
        </w:rPr>
        <w:t>.</w:t>
      </w:r>
    </w:p>
    <w:p>
      <w:pPr>
        <w:pStyle w:val="LBGovstyle3"/>
        <w:numPr>
          <w:ilvl w:val="2"/>
          <w:numId w:val="181"/>
        </w:numPr>
        <w:spacing w:before="0" w:after="0"/>
        <w:ind w:firstLine="709" w:left="0"/>
        <w:rPr>
          <w:lang w:val="ru-RU"/>
        </w:rPr>
      </w:pPr>
      <w:r>
        <w:rPr>
          <w:lang w:val="ru-RU"/>
        </w:rPr>
        <w:t>Авансовые платежи по Контракту не предусмотрены.</w:t>
      </w:r>
    </w:p>
    <w:p>
      <w:pPr>
        <w:pStyle w:val="LBGovstyle3"/>
        <w:numPr>
          <w:ilvl w:val="2"/>
          <w:numId w:val="182"/>
        </w:numPr>
        <w:spacing w:before="0" w:after="0"/>
        <w:ind w:firstLine="709" w:left="0"/>
        <w:rPr>
          <w:lang w:val="ru-RU"/>
        </w:rPr>
      </w:pPr>
      <w:r>
        <w:rPr>
          <w:lang w:val="ru-RU"/>
        </w:rPr>
        <w:t xml:space="preserve">Расчет за оказанные услуги осуществляется в течение 10 (Десяти) рабочих дней со дня подписания Заказчиком </w:t>
      </w:r>
      <w:r>
        <w:rPr>
          <w:sz w:val="22"/>
          <w:szCs w:val="22"/>
          <w:shd w:fill="auto" w:val="clear"/>
          <w:lang w:val="ru-RU"/>
        </w:rPr>
        <w:t>Акта приемки оказанных услуг</w:t>
      </w:r>
      <w:r>
        <w:rPr>
          <w:lang w:val="ru-RU"/>
        </w:rPr>
        <w:t>.</w:t>
      </w:r>
    </w:p>
    <w:p>
      <w:pPr>
        <w:pStyle w:val="LBGovstyle2"/>
        <w:numPr>
          <w:ilvl w:val="1"/>
          <w:numId w:val="183"/>
        </w:numPr>
        <w:spacing w:before="0" w:after="0"/>
        <w:ind w:firstLine="709" w:left="0"/>
        <w:rPr>
          <w:lang w:val="ru-RU"/>
        </w:rPr>
      </w:pPr>
      <w:r>
        <w:rPr>
          <w:lang w:val="ru-RU"/>
        </w:rPr>
        <w:t>При начислении Заказчиком Исполнителю неустойки (штрафа, пени) и отказе Исполнителя в ее уплате по соответствующему письменному требованию Заказчик вправе произвести оплату по Контракту за вычетом суммы неустойки (штрафа, пени).</w:t>
      </w:r>
    </w:p>
    <w:p>
      <w:pPr>
        <w:pStyle w:val="LBGovstyle2"/>
        <w:numPr>
          <w:ilvl w:val="1"/>
          <w:numId w:val="184"/>
        </w:numPr>
        <w:spacing w:before="0" w:after="0"/>
        <w:ind w:firstLine="709" w:left="0"/>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услуг.</w:t>
      </w:r>
    </w:p>
    <w:p>
      <w:pPr>
        <w:pStyle w:val="LBGovstyle2"/>
        <w:numPr>
          <w:ilvl w:val="1"/>
          <w:numId w:val="185"/>
        </w:numPr>
        <w:spacing w:before="0" w:after="0"/>
        <w:ind w:firstLine="709" w:left="0"/>
        <w:rPr>
          <w:lang w:val="ru-RU"/>
        </w:rPr>
      </w:pPr>
      <w:r>
        <w:rPr>
          <w:lang w:val="ru-RU"/>
        </w:rPr>
        <w:t>Заказчик по согласованию с Исполнителем в ходе исполнения Контракта вправе увеличить предусмотренный Контрактом объем услуги не более чем на 10 (Десять) процентов или уменьшить предусмотренный Контрактом объем услуги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10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pPr>
        <w:pStyle w:val="LBGovstyle2"/>
        <w:spacing w:before="0" w:after="0"/>
        <w:ind w:firstLine="709"/>
        <w:rPr>
          <w:lang w:val="ru-RU"/>
        </w:rPr>
      </w:pPr>
      <w:r>
        <w:rPr>
          <w:lang w:val="ru-RU"/>
        </w:rPr>
      </w:r>
    </w:p>
    <w:p>
      <w:pPr>
        <w:pStyle w:val="LBGovstyle1"/>
        <w:numPr>
          <w:ilvl w:val="0"/>
          <w:numId w:val="186"/>
        </w:numPr>
        <w:spacing w:before="0" w:after="0"/>
        <w:ind w:firstLine="709" w:left="0"/>
        <w:rPr/>
      </w:pPr>
      <w:r>
        <w:rPr/>
        <w:t>Права и обязанности Сторон</w:t>
      </w:r>
    </w:p>
    <w:p>
      <w:pPr>
        <w:pStyle w:val="LBGovstyle2"/>
        <w:numPr>
          <w:ilvl w:val="1"/>
          <w:numId w:val="187"/>
        </w:numPr>
        <w:spacing w:before="0" w:after="0"/>
        <w:ind w:firstLine="709" w:left="0"/>
        <w:rPr/>
      </w:pPr>
      <w:r>
        <w:rPr>
          <w:lang w:val="ru-RU"/>
        </w:rPr>
        <w:t>Заказчик имеет право:</w:t>
      </w:r>
    </w:p>
    <w:p>
      <w:pPr>
        <w:pStyle w:val="LBGovstyle3"/>
        <w:numPr>
          <w:ilvl w:val="2"/>
          <w:numId w:val="188"/>
        </w:numPr>
        <w:spacing w:before="0" w:after="0"/>
        <w:ind w:firstLine="709" w:left="0"/>
        <w:rPr>
          <w:lang w:val="ru-RU"/>
        </w:rPr>
      </w:pPr>
      <w:r>
        <w:rPr>
          <w:lang w:val="ru-RU"/>
        </w:rPr>
        <w:t>Досрочно принять и оплатить услуги в соответствии с условиями Контракта.</w:t>
      </w:r>
    </w:p>
    <w:p>
      <w:pPr>
        <w:pStyle w:val="LBGovstyle3"/>
        <w:numPr>
          <w:ilvl w:val="2"/>
          <w:numId w:val="189"/>
        </w:numPr>
        <w:spacing w:before="0" w:after="0"/>
        <w:ind w:firstLine="709" w:left="0"/>
        <w:rPr>
          <w:lang w:val="ru-RU"/>
        </w:rPr>
      </w:pPr>
      <w:r>
        <w:rPr>
          <w:lang w:val="ru-RU"/>
        </w:rPr>
        <w:t>По согласованию с Исполнителем изменить объем услуг в соответствии с условиями Контракта.</w:t>
      </w:r>
    </w:p>
    <w:p>
      <w:pPr>
        <w:pStyle w:val="LBGovstyle3"/>
        <w:numPr>
          <w:ilvl w:val="2"/>
          <w:numId w:val="190"/>
        </w:numPr>
        <w:spacing w:before="0" w:after="0"/>
        <w:ind w:firstLine="709" w:left="0"/>
        <w:rPr>
          <w:lang w:val="ru-RU"/>
        </w:rPr>
      </w:pPr>
      <w:r>
        <w:rPr>
          <w:lang w:val="ru-RU"/>
        </w:rPr>
        <w:t>В любое время проверять ход и качество услуг, выполняемых Исполнителем в рамках Контракта, не вмешиваясь в хозяйственную деятельность Исполнителя.</w:t>
      </w:r>
    </w:p>
    <w:p>
      <w:pPr>
        <w:pStyle w:val="LBGovstyle3"/>
        <w:numPr>
          <w:ilvl w:val="2"/>
          <w:numId w:val="191"/>
        </w:numPr>
        <w:spacing w:before="0" w:after="0"/>
        <w:ind w:firstLine="709" w:left="0"/>
        <w:rPr>
          <w:lang w:val="ru-RU"/>
        </w:rPr>
      </w:pPr>
      <w:r>
        <w:rPr>
          <w:lang w:val="ru-RU"/>
        </w:rPr>
        <w:t>Осуществлять иные права, предусмотренные Контрактом и (или) законодательством Российской Федерации.</w:t>
      </w:r>
    </w:p>
    <w:p>
      <w:pPr>
        <w:pStyle w:val="LBGovstyle2"/>
        <w:numPr>
          <w:ilvl w:val="1"/>
          <w:numId w:val="192"/>
        </w:numPr>
        <w:spacing w:before="0" w:after="0"/>
        <w:ind w:firstLine="709" w:left="0"/>
        <w:rPr/>
      </w:pPr>
      <w:r>
        <w:rPr>
          <w:lang w:val="ru-RU"/>
        </w:rPr>
        <w:t>Заказчик обязан:</w:t>
      </w:r>
    </w:p>
    <w:p>
      <w:pPr>
        <w:pStyle w:val="LBGovstyle3"/>
        <w:numPr>
          <w:ilvl w:val="2"/>
          <w:numId w:val="193"/>
        </w:numPr>
        <w:spacing w:before="0" w:after="0"/>
        <w:ind w:firstLine="709" w:left="0"/>
        <w:rPr>
          <w:lang w:val="ru-RU"/>
        </w:rPr>
      </w:pPr>
      <w:r>
        <w:rPr>
          <w:lang w:val="ru-RU"/>
        </w:rPr>
        <w:t>Обеспечить приемку оказанных по Контракту услуг по объему и качеству;</w:t>
      </w:r>
    </w:p>
    <w:p>
      <w:pPr>
        <w:pStyle w:val="LBGovstyle3"/>
        <w:numPr>
          <w:ilvl w:val="2"/>
          <w:numId w:val="194"/>
        </w:numPr>
        <w:spacing w:before="0" w:after="0"/>
        <w:ind w:firstLine="709" w:left="0"/>
        <w:rPr>
          <w:lang w:val="ru-RU"/>
        </w:rPr>
      </w:pPr>
      <w:r>
        <w:rPr>
          <w:lang w:val="ru-RU"/>
        </w:rPr>
        <w:t>Оплатить услуги в порядке, предусмотренном Контрактом;</w:t>
      </w:r>
    </w:p>
    <w:p>
      <w:pPr>
        <w:pStyle w:val="LBGovstyle3"/>
        <w:numPr>
          <w:ilvl w:val="2"/>
          <w:numId w:val="195"/>
        </w:numPr>
        <w:spacing w:before="0" w:after="0"/>
        <w:ind w:firstLine="709" w:left="0"/>
        <w:rPr>
          <w:lang w:val="ru-RU"/>
        </w:rPr>
      </w:pPr>
      <w:r>
        <w:rPr>
          <w:lang w:val="ru-RU"/>
        </w:rPr>
        <w:t>Своевременно предоставить Исполнителю информацию, необходимую для исполнения Контракта;</w:t>
      </w:r>
    </w:p>
    <w:p>
      <w:pPr>
        <w:pStyle w:val="LBGovstyle3"/>
        <w:numPr>
          <w:ilvl w:val="2"/>
          <w:numId w:val="196"/>
        </w:numPr>
        <w:spacing w:before="0" w:after="0"/>
        <w:ind w:firstLine="709" w:left="0"/>
        <w:rPr>
          <w:lang w:val="ru-RU"/>
        </w:rPr>
      </w:pPr>
      <w:r>
        <w:rPr>
          <w:lang w:val="ru-RU"/>
        </w:rPr>
        <w:t>Требовать возмещения неустойки и (или) убытков, причиненных по вине Исполнителя;</w:t>
      </w:r>
    </w:p>
    <w:p>
      <w:pPr>
        <w:pStyle w:val="LBGovstyle3"/>
        <w:numPr>
          <w:ilvl w:val="2"/>
          <w:numId w:val="197"/>
        </w:numPr>
        <w:spacing w:before="0" w:after="0"/>
        <w:ind w:firstLine="709" w:left="0"/>
        <w:rPr>
          <w:lang w:val="ru-RU"/>
        </w:rPr>
      </w:pPr>
      <w:r>
        <w:rPr>
          <w:lang w:val="ru-RU"/>
        </w:rPr>
        <w:t>Проводить экспертизу предоставленных Исполнителем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pPr>
        <w:pStyle w:val="LBGovstyle3"/>
        <w:numPr>
          <w:ilvl w:val="2"/>
          <w:numId w:val="198"/>
        </w:numPr>
        <w:spacing w:before="0" w:after="0"/>
        <w:ind w:firstLine="709" w:left="0"/>
        <w:rPr>
          <w:lang w:val="ru-RU"/>
        </w:rPr>
      </w:pPr>
      <w:r>
        <w:rPr>
          <w:lang w:val="ru-RU"/>
        </w:rPr>
        <w:t>Обеспечить беспрепятственный доступ Персонала в помещения Заказчика для оказания услуг по настоящему Контракту.</w:t>
      </w:r>
    </w:p>
    <w:p>
      <w:pPr>
        <w:pStyle w:val="LBGovstyle3"/>
        <w:numPr>
          <w:ilvl w:val="2"/>
          <w:numId w:val="199"/>
        </w:numPr>
        <w:spacing w:before="0" w:after="0"/>
        <w:ind w:firstLine="709" w:left="0"/>
        <w:rPr>
          <w:lang w:val="ru-RU"/>
        </w:rPr>
      </w:pPr>
      <w:r>
        <w:rPr>
          <w:lang w:val="ru-RU"/>
        </w:rPr>
        <w:t>Назначить ответственное лицо, уполномоченное от имени Заказчика решать возникшие в процессе оказания услуг вопросы.</w:t>
      </w:r>
    </w:p>
    <w:p>
      <w:pPr>
        <w:pStyle w:val="LBGovstyle3"/>
        <w:numPr>
          <w:ilvl w:val="2"/>
          <w:numId w:val="200"/>
        </w:numPr>
        <w:spacing w:before="0" w:after="0"/>
        <w:ind w:firstLine="709" w:left="0"/>
        <w:rPr>
          <w:lang w:val="ru-RU"/>
        </w:rPr>
      </w:pPr>
      <w:r>
        <w:rPr>
          <w:lang w:val="ru-RU"/>
        </w:rPr>
        <w:t>Выполнять иные обязанности, предусмотренные Контрактом.</w:t>
      </w:r>
    </w:p>
    <w:p>
      <w:pPr>
        <w:pStyle w:val="LBGovstyle2"/>
        <w:numPr>
          <w:ilvl w:val="1"/>
          <w:numId w:val="201"/>
        </w:numPr>
        <w:spacing w:before="0" w:after="0"/>
        <w:ind w:firstLine="709" w:left="0"/>
        <w:rPr/>
      </w:pPr>
      <w:r>
        <w:rPr>
          <w:lang w:val="ru-RU"/>
        </w:rPr>
        <w:t>Исполнитель вправе:</w:t>
      </w:r>
    </w:p>
    <w:p>
      <w:pPr>
        <w:pStyle w:val="LBGovstyle3"/>
        <w:numPr>
          <w:ilvl w:val="2"/>
          <w:numId w:val="202"/>
        </w:numPr>
        <w:spacing w:before="0" w:after="0"/>
        <w:ind w:firstLine="709" w:left="0"/>
        <w:rPr>
          <w:lang w:val="ru-RU"/>
        </w:rPr>
      </w:pPr>
      <w:r>
        <w:rPr>
          <w:lang w:val="ru-RU"/>
        </w:rPr>
        <w:t>Требовать приемки и оплаты услуг в объеме, порядке, сроки и на условиях, предусмотренных Контрактом;</w:t>
      </w:r>
    </w:p>
    <w:p>
      <w:pPr>
        <w:pStyle w:val="LBGovstyle3"/>
        <w:numPr>
          <w:ilvl w:val="2"/>
          <w:numId w:val="203"/>
        </w:numPr>
        <w:spacing w:before="0" w:after="0"/>
        <w:ind w:firstLine="709" w:left="0"/>
        <w:rPr>
          <w:lang w:val="ru-RU"/>
        </w:rPr>
      </w:pPr>
      <w:r>
        <w:rPr>
          <w:lang w:val="ru-RU"/>
        </w:rPr>
        <w:t>Требовать возмещения убытков, причиненных Исполнителю по вине Заказчика в ходе исполнения Контракта.</w:t>
      </w:r>
    </w:p>
    <w:p>
      <w:pPr>
        <w:pStyle w:val="LBGovstyle3"/>
        <w:numPr>
          <w:ilvl w:val="2"/>
          <w:numId w:val="204"/>
        </w:numPr>
        <w:spacing w:before="0" w:after="0"/>
        <w:ind w:firstLine="709" w:left="0"/>
        <w:textAlignment w:val="auto"/>
        <w:rPr>
          <w:lang w:val="ru-RU"/>
        </w:rPr>
      </w:pPr>
      <w:r>
        <w:rPr>
          <w:lang w:val="ru-RU"/>
        </w:rPr>
        <w:t>По согласованию с Заказчиком досрочно оказать услуги.</w:t>
      </w:r>
    </w:p>
    <w:p>
      <w:pPr>
        <w:pStyle w:val="LBGovstyle3"/>
        <w:numPr>
          <w:ilvl w:val="2"/>
          <w:numId w:val="205"/>
        </w:numPr>
        <w:spacing w:before="0" w:after="0"/>
        <w:ind w:firstLine="709" w:left="0"/>
        <w:rPr>
          <w:lang w:val="ru-RU"/>
        </w:rPr>
      </w:pPr>
      <w:r>
        <w:rPr>
          <w:lang w:val="ru-RU"/>
        </w:rPr>
        <w:t>Осуществлять иные права, предусмотренные Контрактом и (или) законодательством Российской Федерации.</w:t>
      </w:r>
    </w:p>
    <w:p>
      <w:pPr>
        <w:pStyle w:val="LBGovstyle2"/>
        <w:numPr>
          <w:ilvl w:val="1"/>
          <w:numId w:val="206"/>
        </w:numPr>
        <w:spacing w:before="0" w:after="0"/>
        <w:ind w:firstLine="709" w:left="0"/>
        <w:rPr/>
      </w:pPr>
      <w:r>
        <w:rPr>
          <w:lang w:val="ru-RU"/>
        </w:rPr>
        <w:t>Исполнитель обязан:</w:t>
      </w:r>
    </w:p>
    <w:p>
      <w:pPr>
        <w:pStyle w:val="LBGovstyle3"/>
        <w:numPr>
          <w:ilvl w:val="2"/>
          <w:numId w:val="207"/>
        </w:numPr>
        <w:spacing w:before="0" w:after="0"/>
        <w:ind w:firstLine="709" w:left="0"/>
        <w:rPr>
          <w:lang w:val="ru-RU"/>
        </w:rPr>
      </w:pPr>
      <w:r>
        <w:rPr>
          <w:lang w:val="ru-RU"/>
        </w:rPr>
        <w:t>Оказать услуги в сроки, предусмотренные Контрактом;</w:t>
      </w:r>
    </w:p>
    <w:p>
      <w:pPr>
        <w:pStyle w:val="LBGovstyle3"/>
        <w:numPr>
          <w:ilvl w:val="2"/>
          <w:numId w:val="208"/>
        </w:numPr>
        <w:spacing w:before="0" w:after="0"/>
        <w:ind w:firstLine="709" w:left="0"/>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pPr>
        <w:pStyle w:val="LBGovstyle3"/>
        <w:numPr>
          <w:ilvl w:val="2"/>
          <w:numId w:val="209"/>
        </w:numPr>
        <w:spacing w:before="0" w:after="0"/>
        <w:ind w:firstLine="709" w:left="0"/>
        <w:rPr>
          <w:lang w:val="ru-RU"/>
        </w:rPr>
      </w:pPr>
      <w:r>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pPr>
        <w:pStyle w:val="LBGovstyle3"/>
        <w:numPr>
          <w:ilvl w:val="2"/>
          <w:numId w:val="210"/>
        </w:numPr>
        <w:spacing w:before="0" w:after="0"/>
        <w:ind w:firstLine="709" w:left="0"/>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pPr>
        <w:pStyle w:val="LBGovstyle3"/>
        <w:numPr>
          <w:ilvl w:val="2"/>
          <w:numId w:val="211"/>
        </w:numPr>
        <w:spacing w:before="0" w:after="0"/>
        <w:ind w:firstLine="709" w:left="0"/>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pPr>
        <w:pStyle w:val="LBGovstyle3"/>
        <w:numPr>
          <w:ilvl w:val="2"/>
          <w:numId w:val="212"/>
        </w:numPr>
        <w:spacing w:before="0" w:after="0"/>
        <w:ind w:firstLine="709" w:left="0"/>
        <w:rPr>
          <w:lang w:val="ru-RU"/>
        </w:rPr>
      </w:pPr>
      <w:r>
        <w:rPr>
          <w:lang w:val="ru-RU"/>
        </w:rPr>
        <w:t>Оказывать качественно Услуги в соответствии с Описанием объекта закупки (Приложение № 2) и Спецификацией (Приложение № 1), являющихся неотъемлемой частью настоящего Контракта.</w:t>
      </w:r>
    </w:p>
    <w:p>
      <w:pPr>
        <w:pStyle w:val="LBGovstyle3"/>
        <w:numPr>
          <w:ilvl w:val="2"/>
          <w:numId w:val="213"/>
        </w:numPr>
        <w:spacing w:before="0" w:after="0"/>
        <w:ind w:firstLine="709" w:left="0"/>
        <w:rPr>
          <w:lang w:val="ru-RU"/>
        </w:rPr>
      </w:pPr>
      <w:r>
        <w:rPr>
          <w:lang w:val="ru-RU"/>
        </w:rPr>
        <w:t>Бережно относиться к имуществу Заказчика, а также к имуществу третьих лиц, находящихся на территории Заказчика, при оказании Услуг по Контракту, оказывать Услуги не нанося ущерб имуществу Заказчика и третьих лиц.</w:t>
      </w:r>
    </w:p>
    <w:p>
      <w:pPr>
        <w:pStyle w:val="LBGovstyle3"/>
        <w:numPr>
          <w:ilvl w:val="2"/>
          <w:numId w:val="214"/>
        </w:numPr>
        <w:spacing w:before="0" w:after="0"/>
        <w:ind w:firstLine="709" w:left="0"/>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pPr>
        <w:pStyle w:val="LBGovstyle3"/>
        <w:numPr>
          <w:ilvl w:val="2"/>
          <w:numId w:val="215"/>
        </w:numPr>
        <w:spacing w:before="0" w:after="0"/>
        <w:ind w:firstLine="709" w:left="0"/>
        <w:textAlignment w:val="auto"/>
        <w:rPr>
          <w:lang w:val="ru-RU"/>
        </w:rPr>
      </w:pPr>
      <w:r>
        <w:rPr>
          <w:lang w:val="ru-RU"/>
        </w:rPr>
        <w:t>Немедленно ставить в известность Заказчика об обстоятельствах, затрудняющих оказание Услуг по Контракту.</w:t>
      </w:r>
    </w:p>
    <w:p>
      <w:pPr>
        <w:pStyle w:val="LBGovstyle3"/>
        <w:numPr>
          <w:ilvl w:val="2"/>
          <w:numId w:val="216"/>
        </w:numPr>
        <w:spacing w:before="0" w:after="0"/>
        <w:ind w:firstLine="709" w:left="0"/>
        <w:textAlignment w:val="auto"/>
        <w:rPr>
          <w:lang w:val="ru-RU"/>
        </w:rPr>
      </w:pPr>
      <w:r>
        <w:rPr>
          <w:lang w:val="ru-RU"/>
        </w:rPr>
        <w:t>Безвозмездно и немедленно исправить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качество работы.</w:t>
      </w:r>
    </w:p>
    <w:p>
      <w:pPr>
        <w:pStyle w:val="LBGovstyle3"/>
        <w:numPr>
          <w:ilvl w:val="2"/>
          <w:numId w:val="217"/>
        </w:numPr>
        <w:spacing w:before="0" w:after="0"/>
        <w:ind w:firstLine="709" w:left="0"/>
        <w:rPr>
          <w:lang w:val="ru-RU"/>
        </w:rPr>
      </w:pPr>
      <w:r>
        <w:rPr>
          <w:lang w:val="ru-RU"/>
        </w:rPr>
        <w:t>Выполнять иные обязанности, предусмотренные Контрактом.</w:t>
      </w:r>
    </w:p>
    <w:p>
      <w:pPr>
        <w:pStyle w:val="LBGovstyle3"/>
        <w:spacing w:before="0" w:after="0"/>
        <w:ind w:firstLine="709"/>
        <w:rPr>
          <w:lang w:val="ru-RU"/>
        </w:rPr>
      </w:pPr>
      <w:r>
        <w:rPr>
          <w:lang w:val="ru-RU"/>
        </w:rPr>
      </w:r>
    </w:p>
    <w:p>
      <w:pPr>
        <w:pStyle w:val="LBGovstyle1"/>
        <w:numPr>
          <w:ilvl w:val="0"/>
          <w:numId w:val="218"/>
        </w:numPr>
        <w:spacing w:before="0" w:after="0"/>
        <w:ind w:firstLine="709" w:left="0"/>
        <w:rPr/>
      </w:pPr>
      <w:r>
        <w:rPr/>
        <w:t>Сроки оказания услуг</w:t>
      </w:r>
    </w:p>
    <w:p>
      <w:pPr>
        <w:pStyle w:val="LBGovstyle6"/>
        <w:numPr>
          <w:ilvl w:val="1"/>
          <w:numId w:val="219"/>
        </w:numPr>
        <w:spacing w:before="0" w:after="0"/>
        <w:ind w:firstLine="709" w:left="0"/>
        <w:textAlignment w:val="auto"/>
        <w:rPr>
          <w:lang w:val="ru-RU"/>
        </w:rPr>
      </w:pPr>
      <w:r>
        <w:rPr>
          <w:lang w:val="ru-RU"/>
        </w:rPr>
        <w:t>Срок оказания услуг: в течение 20 (двадцати) рабочих дней с даты заключения контракта.</w:t>
      </w:r>
    </w:p>
    <w:p>
      <w:pPr>
        <w:pStyle w:val="LBGovstyle2"/>
        <w:numPr>
          <w:ilvl w:val="1"/>
          <w:numId w:val="220"/>
        </w:numPr>
        <w:spacing w:before="0" w:after="0"/>
        <w:ind w:firstLine="709" w:left="0"/>
        <w:textAlignment w:val="auto"/>
        <w:rPr>
          <w:lang w:val="ru-RU"/>
        </w:rPr>
      </w:pPr>
      <w:r>
        <w:rPr>
          <w:color w:val="000000"/>
          <w:spacing w:val="8"/>
          <w:lang w:val="ru-RU"/>
        </w:rPr>
        <w:t>Срок действия лицензии: не менее 12 месяцев</w:t>
      </w:r>
      <w:r>
        <w:rPr>
          <w:b/>
          <w:color w:val="000000"/>
          <w:spacing w:val="8"/>
          <w:lang w:val="ru-RU"/>
        </w:rPr>
        <w:t xml:space="preserve"> </w:t>
      </w:r>
      <w:r>
        <w:rPr>
          <w:lang w:val="ru-RU"/>
        </w:rPr>
        <w:t>с даты активации ключа.</w:t>
      </w:r>
    </w:p>
    <w:p>
      <w:pPr>
        <w:pStyle w:val="LBGovstyle2"/>
        <w:numPr>
          <w:ilvl w:val="1"/>
          <w:numId w:val="221"/>
        </w:numPr>
        <w:spacing w:before="0" w:after="0"/>
        <w:ind w:firstLine="709" w:left="0"/>
        <w:textAlignment w:val="auto"/>
        <w:rPr>
          <w:lang w:val="ru-RU"/>
        </w:rPr>
      </w:pPr>
      <w:r>
        <w:rPr>
          <w:lang w:val="ru-RU"/>
        </w:rPr>
        <w:t>Досрочная сдача результатов услуг допускается только по согласованию с Заказчиком. В случае согласования досрочного оказания услуг Заказчик обязуется принять услуги и подписать Акт приемки оказанных услуг в порядке, установленном Контрактом.</w:t>
      </w:r>
    </w:p>
    <w:p>
      <w:pPr>
        <w:pStyle w:val="LBGovstyle2"/>
        <w:numPr>
          <w:ilvl w:val="1"/>
          <w:numId w:val="222"/>
        </w:numPr>
        <w:spacing w:before="0" w:after="0"/>
        <w:ind w:firstLine="709" w:left="0"/>
        <w:rPr>
          <w:lang w:val="ru-RU"/>
        </w:rPr>
      </w:pPr>
      <w:r>
        <w:rPr>
          <w:lang w:val="ru-RU"/>
        </w:rPr>
        <w:t xml:space="preserve">В случае если пунктом </w:t>
      </w:r>
      <w:r>
        <w:rPr>
          <w:shd w:fill="auto" w:val="clear"/>
          <w:lang w:val="ru-RU"/>
        </w:rPr>
        <w:fldChar w:fldCharType="begin"/>
      </w:r>
      <w:r>
        <w:rPr>
          <w:shd w:fill="auto" w:val="clear"/>
          <w:lang w:val="ru-RU"/>
        </w:rPr>
        <w:instrText xml:space="preserve"> REF _Ref97577555 \r \r \h </w:instrText>
      </w:r>
      <w:r>
        <w:rPr>
          <w:shd w:fill="auto" w:val="clear"/>
          <w:lang w:val="ru-RU"/>
        </w:rPr>
        <w:fldChar w:fldCharType="separate"/>
      </w:r>
      <w:r>
        <w:rPr>
          <w:shd w:fill="auto" w:val="clear"/>
          <w:lang w:val="ru-RU"/>
        </w:rPr>
        <w:t>12.1</w:t>
      </w:r>
      <w:r>
        <w:rPr>
          <w:shd w:fill="auto" w:val="clear"/>
          <w:lang w:val="ru-RU"/>
        </w:rPr>
        <w:fldChar w:fldCharType="end"/>
      </w:r>
      <w:r>
        <w:rPr>
          <w:shd w:fill="auto" w:val="clear"/>
          <w:lang w:val="ru-RU"/>
        </w:rPr>
        <w:t xml:space="preserve"> Контракта</w:t>
      </w:r>
      <w:r>
        <w:rPr>
          <w:lang w:val="ru-RU"/>
        </w:rPr>
        <w:t xml:space="preserve"> указана дата, при наступлении которой обязательства Сторон прекращаются, за исключением обязательств по оплате услуг,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оказания услуг и их приемки.</w:t>
      </w:r>
    </w:p>
    <w:p>
      <w:pPr>
        <w:pStyle w:val="LBGovstyle2"/>
        <w:spacing w:before="0" w:after="0"/>
        <w:ind w:firstLine="709"/>
        <w:rPr>
          <w:lang w:val="ru-RU"/>
        </w:rPr>
      </w:pPr>
      <w:r>
        <w:rPr>
          <w:lang w:val="ru-RU"/>
        </w:rPr>
      </w:r>
    </w:p>
    <w:p>
      <w:pPr>
        <w:pStyle w:val="LBGovstyle1"/>
        <w:numPr>
          <w:ilvl w:val="0"/>
          <w:numId w:val="223"/>
        </w:numPr>
        <w:spacing w:before="0" w:after="0"/>
        <w:ind w:firstLine="709" w:left="0"/>
        <w:rPr/>
      </w:pPr>
      <w:r>
        <w:rPr/>
        <w:t>Порядок сдачи и приемки услуг</w:t>
      </w:r>
    </w:p>
    <w:p>
      <w:pPr>
        <w:pStyle w:val="LBGovstyle2"/>
        <w:numPr>
          <w:ilvl w:val="1"/>
          <w:numId w:val="224"/>
        </w:numPr>
        <w:spacing w:before="0" w:after="0"/>
        <w:ind w:firstLine="709" w:left="0"/>
        <w:rPr>
          <w:lang w:val="ru-RU"/>
        </w:rPr>
      </w:pPr>
      <w:r>
        <w:rPr>
          <w:lang w:val="ru-RU"/>
        </w:rPr>
        <w:t>Приемка оказанных услуг по Контракту осуществляется за весь предусмотренный Контрактом объем услуг в порядке и в сроки, которые установлены Контрактом, статьей 94 Закона № 44-ФЗ, и оформляется Актом приемки оказанных услуг.</w:t>
      </w:r>
    </w:p>
    <w:p>
      <w:pPr>
        <w:pStyle w:val="LBGovstyle2"/>
        <w:numPr>
          <w:ilvl w:val="1"/>
          <w:numId w:val="225"/>
        </w:numPr>
        <w:spacing w:before="0" w:after="0"/>
        <w:ind w:firstLine="709" w:left="0"/>
        <w:textAlignment w:val="auto"/>
        <w:rPr>
          <w:lang w:val="ru-RU"/>
        </w:rPr>
      </w:pPr>
      <w:bookmarkStart w:id="0" w:name="_Ref106748626"/>
      <w:bookmarkEnd w:id="0"/>
      <w:r>
        <w:rPr>
          <w:rFonts w:eastAsia="TimesNewRoman"/>
          <w:lang w:val="ru-RU"/>
        </w:rPr>
        <w:t>Исполнитель предоставляет регистрационную информацию в виде ключевого файла / кода активации / авторизационного номера, которая генерируется Правообладателями программного обеспечения персонально для Заказчика и необходима и достаточна для полнофункциональной работоспособности программного обеспечения</w:t>
      </w:r>
      <w:r>
        <w:rPr>
          <w:lang w:val="ru-RU"/>
        </w:rPr>
        <w:t>.</w:t>
      </w:r>
    </w:p>
    <w:p>
      <w:pPr>
        <w:pStyle w:val="ListParagraph"/>
        <w:numPr>
          <w:ilvl w:val="1"/>
          <w:numId w:val="226"/>
        </w:numPr>
        <w:suppressAutoHyphens w:val="false"/>
        <w:ind w:firstLine="709" w:left="0"/>
        <w:textAlignment w:val="auto"/>
        <w:rPr/>
      </w:pPr>
      <w:r>
        <w:rPr/>
        <w:t xml:space="preserve">Исполнитель в течение 3-х рабочих дней после оказания услуг в полном объеме, предусмотренном Контрактом, направляет в адрес Заказчика Акт приемки оказанных услуг. </w:t>
      </w:r>
    </w:p>
    <w:p>
      <w:pPr>
        <w:pStyle w:val="LBBodyText2"/>
        <w:spacing w:before="0" w:after="0"/>
        <w:ind w:firstLine="709" w:left="0"/>
        <w:rPr/>
      </w:pPr>
      <w:r>
        <w:rPr>
          <w:szCs w:val="22"/>
        </w:rPr>
        <w:t>К Акту приемки оказанных услуг прилагаются документы, которые считаются его неотъемлемой частью:</w:t>
      </w:r>
    </w:p>
    <w:p>
      <w:pPr>
        <w:pStyle w:val="LBBodyText2"/>
        <w:numPr>
          <w:ilvl w:val="0"/>
          <w:numId w:val="44"/>
        </w:numPr>
        <w:spacing w:before="0" w:after="0"/>
        <w:ind w:firstLine="709" w:left="0"/>
        <w:rPr/>
      </w:pPr>
      <w:r>
        <w:rPr>
          <w:szCs w:val="22"/>
        </w:rPr>
        <w:t xml:space="preserve">счет; </w:t>
      </w:r>
    </w:p>
    <w:p>
      <w:pPr>
        <w:pStyle w:val="LBBodyText2"/>
        <w:numPr>
          <w:ilvl w:val="0"/>
          <w:numId w:val="44"/>
        </w:numPr>
        <w:spacing w:before="0" w:after="0"/>
        <w:ind w:firstLine="709" w:left="0"/>
        <w:rPr/>
      </w:pPr>
      <w:r>
        <w:rPr>
          <w:szCs w:val="22"/>
        </w:rPr>
        <w:t>счет-фактура (при наличии).</w:t>
      </w:r>
    </w:p>
    <w:p>
      <w:pPr>
        <w:pStyle w:val="LBBodyText2"/>
        <w:numPr>
          <w:ilvl w:val="0"/>
          <w:numId w:val="0"/>
        </w:numPr>
        <w:spacing w:before="0" w:after="0"/>
        <w:ind w:hanging="0" w:left="0"/>
        <w:rPr/>
      </w:pPr>
      <w:r>
        <w:rPr>
          <w:color w:val="000000"/>
          <w:sz w:val="22"/>
          <w:szCs w:val="22"/>
          <w:shd w:fill="auto" w:val="clear"/>
        </w:rPr>
        <w:t xml:space="preserve">            </w:t>
      </w:r>
      <w:r>
        <w:rPr>
          <w:color w:val="000000"/>
          <w:sz w:val="22"/>
          <w:szCs w:val="22"/>
          <w:shd w:fill="auto" w:val="clear"/>
        </w:rPr>
        <w:t xml:space="preserve">Датой поступления Заказчику Акта </w:t>
      </w:r>
      <w:r>
        <w:rPr>
          <w:color w:val="000000"/>
          <w:sz w:val="22"/>
          <w:szCs w:val="22"/>
          <w:shd w:fill="auto" w:val="clear"/>
          <w:lang w:val="ru-RU"/>
        </w:rPr>
        <w:t>приемки</w:t>
      </w:r>
      <w:r>
        <w:rPr>
          <w:color w:val="000000"/>
          <w:sz w:val="22"/>
          <w:szCs w:val="22"/>
          <w:shd w:fill="auto" w:val="clear"/>
        </w:rPr>
        <w:t xml:space="preserve"> оказанных услуг считается дата его получения Заказчиком.</w:t>
      </w:r>
    </w:p>
    <w:p>
      <w:pPr>
        <w:pStyle w:val="LBGovstyle2"/>
        <w:numPr>
          <w:ilvl w:val="1"/>
          <w:numId w:val="227"/>
        </w:numPr>
        <w:spacing w:before="0" w:after="0"/>
        <w:ind w:firstLine="709" w:left="0"/>
        <w:rPr>
          <w:lang w:val="ru-RU"/>
        </w:rPr>
      </w:pPr>
      <w:r>
        <w:rPr>
          <w:lang w:val="ru-RU"/>
        </w:rPr>
        <w:t>Для приемки оказанных услуг Заказчиком может создаваться приемочная комиссия, которая состоит не менее чем из 5 (Пяти) человек. В случае создания приемочной комиссии приемка оказанных услуг осуществляется приемочной комиссией и утверждается Заказчиком.</w:t>
      </w:r>
    </w:p>
    <w:p>
      <w:pPr>
        <w:pStyle w:val="LBGovstyle2"/>
        <w:numPr>
          <w:ilvl w:val="1"/>
          <w:numId w:val="228"/>
        </w:numPr>
        <w:spacing w:before="0" w:after="0"/>
        <w:ind w:firstLine="709" w:left="0"/>
        <w:rPr>
          <w:lang w:val="ru-RU"/>
        </w:rPr>
      </w:pPr>
      <w:r>
        <w:rPr>
          <w:lang w:val="ru-RU"/>
        </w:rPr>
        <w:t>Для проверки оказанных Исполнителем услуг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pPr>
        <w:pStyle w:val="LBBodyText2"/>
        <w:spacing w:before="0" w:after="0"/>
        <w:ind w:firstLine="709" w:left="0"/>
        <w:rPr/>
      </w:pPr>
      <w:r>
        <w:rPr>
          <w:szCs w:val="22"/>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оказанных услуг, результатов отдельного этапа исполнения Контракта.</w:t>
      </w:r>
    </w:p>
    <w:p>
      <w:pPr>
        <w:pStyle w:val="LBBodyText2"/>
        <w:spacing w:before="0" w:after="0"/>
        <w:ind w:firstLine="709" w:left="0"/>
        <w:rPr/>
      </w:pPr>
      <w:r>
        <w:rPr>
          <w:color w:val="171717"/>
          <w:szCs w:val="22"/>
          <w:lang w:eastAsia="ar-SA"/>
        </w:rPr>
        <w:t>Заказчик, принявший услуги без проверки, не лишается права ссылаться на недостатки услуги, которые могли быть установлены в ходе использования результата услуг.</w:t>
      </w:r>
    </w:p>
    <w:p>
      <w:pPr>
        <w:pStyle w:val="LBGovstyle2"/>
        <w:numPr>
          <w:ilvl w:val="1"/>
          <w:numId w:val="229"/>
        </w:numPr>
        <w:spacing w:before="0" w:after="0"/>
        <w:ind w:firstLine="709" w:left="0"/>
        <w:rPr/>
      </w:pPr>
      <w:r>
        <w:rPr>
          <w:lang w:val="ru-RU"/>
        </w:rPr>
        <w:t>При отсутствии у Заказчика претензий по количеству и качеству оказанных Услуг Заказчик в течение 15 (пятнадцати) рабочих дней с момента оказания Услуг подписывает Акт приемки оказанных услуг. После этого Услуги считаются оказанными Исполнителем Заказчику.</w:t>
      </w:r>
    </w:p>
    <w:p>
      <w:pPr>
        <w:pStyle w:val="LBGovstyle2"/>
        <w:numPr>
          <w:ilvl w:val="1"/>
          <w:numId w:val="230"/>
        </w:numPr>
        <w:spacing w:before="0" w:after="0"/>
        <w:ind w:firstLine="709" w:left="0"/>
        <w:rPr>
          <w:lang w:val="ru-RU"/>
        </w:rPr>
      </w:pPr>
      <w:r>
        <w:rPr>
          <w:lang w:val="ru-RU"/>
        </w:rPr>
        <w:t>Приемка оказанных Услуг  в части соответствия их объема и качества требованиям, установленным в Контракте, производится Заказчиком по окончании срока оказания услуг.</w:t>
      </w:r>
    </w:p>
    <w:p>
      <w:pPr>
        <w:pStyle w:val="LBGovstyle2"/>
        <w:numPr>
          <w:ilvl w:val="1"/>
          <w:numId w:val="231"/>
        </w:numPr>
        <w:spacing w:before="0" w:after="0"/>
        <w:ind w:firstLine="709" w:left="0"/>
        <w:rPr>
          <w:lang w:val="ru-RU"/>
        </w:rPr>
      </w:pPr>
      <w:r>
        <w:rPr>
          <w:color w:val="171717"/>
          <w:kern w:val="2"/>
          <w:lang w:val="ru-RU"/>
        </w:rPr>
        <w:t xml:space="preserve">В случае обнаружения недостатков в объеме и качестве оказанных услуг </w:t>
      </w:r>
      <w:r>
        <w:rPr>
          <w:kern w:val="2"/>
          <w:lang w:val="ru-RU"/>
        </w:rPr>
        <w:t xml:space="preserve">либо в случае </w:t>
      </w:r>
      <w:r>
        <w:rPr>
          <w:lang w:val="ru-RU"/>
        </w:rPr>
        <w:t>не предоставления Исполнителем Заказчику исчерпывающего перечня документов, предусмотренных контрактом,</w:t>
      </w:r>
      <w:r>
        <w:rPr>
          <w:color w:val="171717"/>
          <w:kern w:val="2"/>
          <w:lang w:val="ru-RU"/>
        </w:rPr>
        <w:t xml:space="preserve"> Заказчик не подписывает документ о приемке и направляет Исполнителю мотивированный отказ от подписания документа о приемке в порядке, предусмотренном пунктом 5.6. Контракта. Приемка оказанных услуг и подписание документа о приемке осуществляется после устранения Исполнителем всех недостатков.</w:t>
      </w:r>
    </w:p>
    <w:p>
      <w:pPr>
        <w:pStyle w:val="LBGovstyle2"/>
        <w:numPr>
          <w:ilvl w:val="1"/>
          <w:numId w:val="232"/>
        </w:numPr>
        <w:spacing w:before="0" w:after="0"/>
        <w:ind w:firstLine="709" w:left="0"/>
        <w:rPr>
          <w:lang w:val="ru-RU"/>
        </w:rPr>
      </w:pPr>
      <w:r>
        <w:rPr>
          <w:color w:val="171717"/>
          <w:kern w:val="2"/>
          <w:lang w:val="ru-RU"/>
        </w:rPr>
        <w:t xml:space="preserve">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 </w:t>
      </w:r>
    </w:p>
    <w:p>
      <w:pPr>
        <w:pStyle w:val="LBGovstyle2"/>
        <w:numPr>
          <w:ilvl w:val="1"/>
          <w:numId w:val="233"/>
        </w:numPr>
        <w:spacing w:before="0" w:after="0"/>
        <w:ind w:firstLine="709" w:left="0"/>
        <w:rPr>
          <w:lang w:val="ru-RU"/>
        </w:rPr>
      </w:pPr>
      <w:r>
        <w:rPr>
          <w:color w:val="171717"/>
          <w:lang w:val="ru-RU"/>
        </w:rPr>
        <w:t xml:space="preserve">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w:t>
      </w:r>
      <w:r>
        <w:rPr>
          <w:color w:val="171717"/>
          <w:kern w:val="2"/>
          <w:lang w:val="ru-RU"/>
        </w:rPr>
        <w:t xml:space="preserve">Исполнителя </w:t>
      </w:r>
      <w:r>
        <w:rPr>
          <w:color w:val="171717"/>
          <w:lang w:val="ru-RU"/>
        </w:rPr>
        <w:t>в течение 3 рабочих дней после их обнаружения.</w:t>
      </w:r>
    </w:p>
    <w:p>
      <w:pPr>
        <w:pStyle w:val="LBGovstyle2"/>
        <w:numPr>
          <w:ilvl w:val="1"/>
          <w:numId w:val="234"/>
        </w:numPr>
        <w:spacing w:before="0" w:after="0"/>
        <w:ind w:firstLine="709" w:left="0"/>
        <w:rPr>
          <w:lang w:val="ru-RU"/>
        </w:rPr>
      </w:pPr>
      <w:r>
        <w:rPr>
          <w:color w:val="171717"/>
          <w:kern w:val="2"/>
          <w:lang w:val="ru-RU"/>
        </w:rPr>
        <w:t xml:space="preserve">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w:t>
      </w:r>
      <w:r>
        <w:rPr>
          <w:color w:val="171717"/>
          <w:lang w:val="ru-RU"/>
        </w:rPr>
        <w:t>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pPr>
        <w:pStyle w:val="LBGovstyle2"/>
        <w:spacing w:before="0" w:after="0"/>
        <w:ind w:firstLine="709"/>
        <w:rPr>
          <w:color w:val="171717"/>
          <w:lang w:val="ru-RU"/>
        </w:rPr>
      </w:pPr>
      <w:r>
        <w:rPr>
          <w:color w:val="171717"/>
          <w:lang w:val="ru-RU"/>
        </w:rPr>
      </w:r>
    </w:p>
    <w:p>
      <w:pPr>
        <w:pStyle w:val="LBGovstyle1"/>
        <w:numPr>
          <w:ilvl w:val="0"/>
          <w:numId w:val="235"/>
        </w:numPr>
        <w:spacing w:before="0" w:after="0"/>
        <w:ind w:firstLine="709" w:left="0"/>
        <w:rPr/>
      </w:pPr>
      <w:r>
        <w:rPr/>
        <w:t>Обеспечение исполнения контракта</w:t>
      </w:r>
    </w:p>
    <w:p>
      <w:pPr>
        <w:pStyle w:val="LBGovstyle2"/>
        <w:numPr>
          <w:ilvl w:val="1"/>
          <w:numId w:val="236"/>
        </w:numPr>
        <w:spacing w:before="0" w:after="0"/>
        <w:ind w:firstLine="709" w:left="0"/>
        <w:rPr>
          <w:lang w:val="ru-RU"/>
        </w:rPr>
      </w:pPr>
      <w:r>
        <w:rPr>
          <w:lang w:val="ru-RU"/>
        </w:rPr>
        <w:t>Обеспечение исполнения контракта не предоставляется.</w:t>
      </w:r>
    </w:p>
    <w:p>
      <w:pPr>
        <w:pStyle w:val="LBGovstyle2"/>
        <w:spacing w:before="0" w:after="0"/>
        <w:ind w:firstLine="709"/>
        <w:rPr>
          <w:lang w:val="ru-RU"/>
        </w:rPr>
      </w:pPr>
      <w:r>
        <w:rPr>
          <w:lang w:val="ru-RU"/>
        </w:rPr>
      </w:r>
    </w:p>
    <w:p>
      <w:pPr>
        <w:pStyle w:val="LBGovstyle6"/>
        <w:numPr>
          <w:ilvl w:val="0"/>
          <w:numId w:val="237"/>
        </w:numPr>
        <w:spacing w:before="0" w:after="0"/>
        <w:ind w:firstLine="709" w:left="0"/>
        <w:rPr/>
      </w:pPr>
      <w:bookmarkStart w:id="1" w:name="_Ref97305125"/>
      <w:bookmarkEnd w:id="1"/>
      <w:r>
        <w:rPr>
          <w:b/>
          <w:lang w:val="ru-RU" w:eastAsia="ru-RU"/>
        </w:rPr>
        <w:t>Обеспечение гарантийных обязательств</w:t>
      </w:r>
      <w:bookmarkStart w:id="2" w:name="_Ref106822808"/>
      <w:bookmarkEnd w:id="2"/>
    </w:p>
    <w:p>
      <w:pPr>
        <w:pStyle w:val="LBGovstyle6"/>
        <w:numPr>
          <w:ilvl w:val="1"/>
          <w:numId w:val="238"/>
        </w:numPr>
        <w:spacing w:before="0" w:after="0"/>
        <w:ind w:firstLine="709" w:left="0"/>
        <w:rPr>
          <w:lang w:val="ru-RU"/>
        </w:rPr>
      </w:pPr>
      <w:r>
        <w:rPr>
          <w:lang w:val="ru-RU"/>
        </w:rPr>
        <w:t xml:space="preserve"> </w:t>
      </w:r>
      <w:r>
        <w:rPr>
          <w:lang w:val="ru-RU"/>
        </w:rPr>
        <w:t>Обеспечение гарантийных обязательств не предоставляется.</w:t>
      </w:r>
    </w:p>
    <w:p>
      <w:pPr>
        <w:pStyle w:val="LBGovstyle6"/>
        <w:numPr>
          <w:ilvl w:val="0"/>
          <w:numId w:val="0"/>
        </w:numPr>
        <w:spacing w:before="0" w:after="0"/>
        <w:ind w:hanging="0" w:left="0"/>
        <w:rPr>
          <w:lang w:val="ru-RU"/>
        </w:rPr>
      </w:pPr>
      <w:r>
        <w:rPr>
          <w:lang w:val="ru-RU"/>
        </w:rPr>
      </w:r>
    </w:p>
    <w:p>
      <w:pPr>
        <w:pStyle w:val="LBGovstyle1"/>
        <w:numPr>
          <w:ilvl w:val="0"/>
          <w:numId w:val="239"/>
        </w:numPr>
        <w:spacing w:before="0" w:after="0"/>
        <w:ind w:firstLine="709" w:left="0"/>
        <w:rPr/>
      </w:pPr>
      <w:r>
        <w:rPr/>
        <w:t>Ответственность Сторон</w:t>
      </w:r>
    </w:p>
    <w:p>
      <w:pPr>
        <w:pStyle w:val="LBGovstyle2"/>
        <w:numPr>
          <w:ilvl w:val="1"/>
          <w:numId w:val="240"/>
        </w:numPr>
        <w:spacing w:before="0" w:after="0"/>
        <w:ind w:firstLine="709" w:left="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pPr>
        <w:pStyle w:val="LBBodyText2"/>
        <w:spacing w:before="0" w:after="0"/>
        <w:ind w:firstLine="709" w:left="0"/>
        <w:rPr/>
      </w:pPr>
      <w:r>
        <w:rPr>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LBBodyText2"/>
        <w:spacing w:before="0" w:after="0"/>
        <w:ind w:firstLine="709" w:left="0"/>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LBBodyText2"/>
        <w:spacing w:before="0" w:after="0"/>
        <w:ind w:firstLine="709" w:left="0"/>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LBGovstyle2"/>
        <w:numPr>
          <w:ilvl w:val="1"/>
          <w:numId w:val="241"/>
        </w:numPr>
        <w:spacing w:before="0" w:after="0"/>
        <w:ind w:firstLine="709" w:left="0"/>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pPr>
        <w:pStyle w:val="LBGovstyle2"/>
        <w:numPr>
          <w:ilvl w:val="1"/>
          <w:numId w:val="242"/>
        </w:numPr>
        <w:spacing w:before="0" w:after="0"/>
        <w:ind w:firstLine="709" w:left="0"/>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pPr>
        <w:pStyle w:val="LBGovstyle2"/>
        <w:numPr>
          <w:ilvl w:val="1"/>
          <w:numId w:val="243"/>
        </w:numPr>
        <w:spacing w:before="0" w:after="0"/>
        <w:ind w:firstLine="709" w:left="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pPr>
        <w:pStyle w:val="LBGovstyle3"/>
        <w:numPr>
          <w:ilvl w:val="2"/>
          <w:numId w:val="244"/>
        </w:numPr>
        <w:spacing w:before="0" w:after="0"/>
        <w:ind w:firstLine="709" w:left="0"/>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bCs/>
          <w:lang w:val="ru-RU"/>
        </w:rPr>
        <w:t>Постановление № 1042</w:t>
      </w:r>
      <w:r>
        <w:rPr>
          <w:b w:val="false"/>
          <w:bCs w:val="false"/>
          <w:lang w:val="ru-RU"/>
        </w:rPr>
        <w:t>"</w:t>
      </w:r>
      <w:r>
        <w:rPr>
          <w:lang w:val="ru-RU"/>
        </w:rPr>
        <w:t>) в следующем порядке:</w:t>
      </w:r>
    </w:p>
    <w:p>
      <w:pPr>
        <w:pStyle w:val="LBGovstyle5"/>
        <w:numPr>
          <w:ilvl w:val="4"/>
          <w:numId w:val="245"/>
        </w:numPr>
        <w:tabs>
          <w:tab w:val="clear" w:pos="708"/>
          <w:tab w:val="left" w:pos="-22" w:leader="none"/>
        </w:tabs>
        <w:spacing w:before="0" w:after="0"/>
        <w:ind w:firstLine="709" w:left="0"/>
        <w:rPr>
          <w:lang w:val="ru-RU"/>
        </w:rPr>
      </w:pPr>
      <w:r>
        <w:rPr>
          <w:lang w:val="ru-RU"/>
        </w:rPr>
        <w:t>1 000 рублей, если цена Контракта не превышает 3 млн. рублей (включительно).</w:t>
      </w:r>
    </w:p>
    <w:p>
      <w:pPr>
        <w:pStyle w:val="LBGovstyle2"/>
        <w:numPr>
          <w:ilvl w:val="1"/>
          <w:numId w:val="246"/>
        </w:numPr>
        <w:spacing w:before="0" w:after="0"/>
        <w:ind w:firstLine="709" w:left="0"/>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LBGovstyle2"/>
        <w:numPr>
          <w:ilvl w:val="1"/>
          <w:numId w:val="247"/>
        </w:numPr>
        <w:spacing w:before="0" w:after="0"/>
        <w:ind w:firstLine="709" w:left="0"/>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LBGovstyle2"/>
        <w:numPr>
          <w:ilvl w:val="1"/>
          <w:numId w:val="248"/>
        </w:numPr>
        <w:spacing w:before="0" w:after="0"/>
        <w:ind w:firstLine="709" w:left="0"/>
        <w:rPr>
          <w:lang w:val="ru-RU"/>
        </w:rPr>
      </w:pPr>
      <w:bookmarkStart w:id="3" w:name="_Ref116933991"/>
      <w:bookmarkEnd w:id="3"/>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pPr>
        <w:pStyle w:val="LBGovstyle3"/>
        <w:numPr>
          <w:ilvl w:val="2"/>
          <w:numId w:val="249"/>
        </w:numPr>
        <w:spacing w:before="0" w:after="0"/>
        <w:ind w:firstLine="709" w:left="0"/>
        <w:rPr>
          <w:lang w:val="ru-RU"/>
        </w:rPr>
      </w:pPr>
      <w:bookmarkStart w:id="4" w:name="_Ref116933965"/>
      <w:bookmarkEnd w:id="4"/>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pPr>
        <w:pStyle w:val="LBGovstyle5"/>
        <w:numPr>
          <w:ilvl w:val="4"/>
          <w:numId w:val="250"/>
        </w:numPr>
        <w:tabs>
          <w:tab w:val="clear" w:pos="708"/>
          <w:tab w:val="left" w:pos="-22" w:leader="none"/>
        </w:tabs>
        <w:spacing w:before="0" w:after="0"/>
        <w:ind w:firstLine="709" w:left="0"/>
        <w:rPr>
          <w:lang w:val="ru-RU"/>
        </w:rPr>
      </w:pPr>
      <w:r>
        <w:rPr>
          <w:rFonts w:eastAsia="Calibri" w:cs="Times New Roman"/>
          <w:color w:val="auto"/>
          <w:kern w:val="0"/>
          <w:sz w:val="22"/>
          <w:szCs w:val="22"/>
          <w:lang w:val="ru-RU" w:eastAsia="en-US" w:bidi="ar-SA"/>
        </w:rPr>
        <w:t>10 процентов цены контракта (этапа) в случае, если цена контракта (этапа) не превышает 3 млн. рублей</w:t>
      </w:r>
      <w:r>
        <w:rPr>
          <w:lang w:val="ru-RU"/>
        </w:rPr>
        <w:t>.</w:t>
      </w:r>
    </w:p>
    <w:p>
      <w:pPr>
        <w:pStyle w:val="LBGovstyle3"/>
        <w:numPr>
          <w:ilvl w:val="2"/>
          <w:numId w:val="251"/>
        </w:numPr>
        <w:spacing w:before="0" w:after="0"/>
        <w:ind w:firstLine="709" w:left="0"/>
        <w:rPr>
          <w:highlight w:val="none"/>
          <w:shd w:fill="auto" w:val="clear"/>
        </w:rPr>
      </w:pPr>
      <w:r>
        <w:rPr>
          <w:shd w:fill="auto" w:val="clea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pPr>
        <w:pStyle w:val="LBGovstyle5"/>
        <w:numPr>
          <w:ilvl w:val="4"/>
          <w:numId w:val="252"/>
        </w:numPr>
        <w:tabs>
          <w:tab w:val="clear" w:pos="708"/>
          <w:tab w:val="left" w:pos="-22" w:leader="none"/>
        </w:tabs>
        <w:spacing w:before="0" w:after="0"/>
        <w:ind w:firstLine="709" w:left="0"/>
        <w:rPr>
          <w:highlight w:val="none"/>
          <w:shd w:fill="auto" w:val="clear"/>
        </w:rPr>
      </w:pPr>
      <w:r>
        <w:rPr>
          <w:shd w:fill="auto" w:val="clear"/>
          <w:lang w:val="ru-RU"/>
        </w:rPr>
        <w:t>1 000 рублей, если цена Контракта не превышает 3 млн. рублей.</w:t>
      </w:r>
    </w:p>
    <w:p>
      <w:pPr>
        <w:pStyle w:val="LBGovstyle2"/>
        <w:numPr>
          <w:ilvl w:val="1"/>
          <w:numId w:val="253"/>
        </w:numPr>
        <w:spacing w:before="0" w:after="0"/>
        <w:ind w:firstLine="709" w:left="0"/>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pPr>
        <w:pStyle w:val="LBGovstyle2"/>
        <w:spacing w:before="0" w:after="0"/>
        <w:ind w:firstLine="709"/>
        <w:rPr>
          <w:lang w:val="ru-RU"/>
        </w:rPr>
      </w:pPr>
      <w:r>
        <w:rPr>
          <w:lang w:val="ru-RU"/>
        </w:rPr>
      </w:r>
    </w:p>
    <w:p>
      <w:pPr>
        <w:pStyle w:val="LBGovstyle1"/>
        <w:numPr>
          <w:ilvl w:val="0"/>
          <w:numId w:val="254"/>
        </w:numPr>
        <w:spacing w:before="0" w:after="0"/>
        <w:ind w:firstLine="709" w:left="0"/>
        <w:rPr/>
      </w:pPr>
      <w:r>
        <w:rPr/>
        <w:t>Форс-мажорные обстоятельства</w:t>
      </w:r>
    </w:p>
    <w:p>
      <w:pPr>
        <w:pStyle w:val="LBGovstyle2"/>
        <w:numPr>
          <w:ilvl w:val="1"/>
          <w:numId w:val="255"/>
        </w:numPr>
        <w:spacing w:before="0" w:after="0"/>
        <w:ind w:firstLine="709" w:left="0"/>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w:t>
      </w:r>
      <w:r>
        <w:rPr>
          <w:color w:val="000000"/>
          <w:lang w:val="ru-RU"/>
        </w:rPr>
        <w:t xml:space="preserve">введение режима повышенной готовности или чрезвычайной ситуации, </w:t>
      </w:r>
      <w:r>
        <w:rPr>
          <w:lang w:val="ru-RU"/>
        </w:rPr>
        <w:t>и если эти обстоятельства непосредственно повлияли на исполнение Контракта.</w:t>
      </w:r>
    </w:p>
    <w:p>
      <w:pPr>
        <w:pStyle w:val="LBGovstyle2"/>
        <w:numPr>
          <w:ilvl w:val="1"/>
          <w:numId w:val="256"/>
        </w:numPr>
        <w:spacing w:before="0" w:after="0"/>
        <w:ind w:firstLine="709" w:left="0"/>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pPr>
        <w:pStyle w:val="LBGovstyle2"/>
        <w:numPr>
          <w:ilvl w:val="1"/>
          <w:numId w:val="257"/>
        </w:numPr>
        <w:spacing w:before="0" w:after="0"/>
        <w:ind w:firstLine="709" w:left="0"/>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pPr>
        <w:pStyle w:val="LBGovstyle2"/>
        <w:spacing w:before="0" w:after="0"/>
        <w:ind w:firstLine="709"/>
        <w:rPr>
          <w:lang w:val="ru-RU"/>
        </w:rPr>
      </w:pPr>
      <w:r>
        <w:rPr>
          <w:lang w:val="ru-RU"/>
        </w:rPr>
      </w:r>
    </w:p>
    <w:p>
      <w:pPr>
        <w:pStyle w:val="LBGovstyle1"/>
        <w:numPr>
          <w:ilvl w:val="0"/>
          <w:numId w:val="258"/>
        </w:numPr>
        <w:spacing w:before="0" w:after="0"/>
        <w:ind w:firstLine="709" w:left="0"/>
        <w:rPr/>
      </w:pPr>
      <w:r>
        <w:rPr/>
        <w:t>Порядок разрешения споров</w:t>
      </w:r>
    </w:p>
    <w:p>
      <w:pPr>
        <w:pStyle w:val="LBGovstyle2"/>
        <w:numPr>
          <w:ilvl w:val="1"/>
          <w:numId w:val="259"/>
        </w:numPr>
        <w:spacing w:before="0" w:after="0"/>
        <w:ind w:firstLine="709" w:left="0"/>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pPr>
        <w:pStyle w:val="LBGovstyle2"/>
        <w:numPr>
          <w:ilvl w:val="1"/>
          <w:numId w:val="260"/>
        </w:numPr>
        <w:spacing w:before="0" w:after="0"/>
        <w:ind w:firstLine="709" w:left="0"/>
        <w:rPr>
          <w:lang w:val="ru-RU"/>
        </w:rPr>
      </w:pPr>
      <w:r>
        <w:rPr>
          <w:strike w:val="false"/>
          <w:dstrike w:val="false"/>
          <w:lang w:val="ru-RU"/>
        </w:rPr>
        <w:t>Претензия оформляется в порядке, предусмотренном Закона № 44-ФЗ, и направляется той Стороне по Контракту, которой допущены нарушения его условий.</w:t>
      </w:r>
      <w:r>
        <w:rPr>
          <w:lang w:val="ru-RU"/>
        </w:rPr>
        <w:t xml:space="preserve">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pPr>
        <w:pStyle w:val="LBGovstyle2"/>
        <w:numPr>
          <w:ilvl w:val="1"/>
          <w:numId w:val="261"/>
        </w:numPr>
        <w:spacing w:before="0" w:after="0"/>
        <w:ind w:firstLine="709" w:left="0"/>
        <w:rPr>
          <w:lang w:val="ru-RU"/>
        </w:rPr>
      </w:pPr>
      <w:r>
        <w:rPr>
          <w:lang w:val="ru-RU"/>
        </w:rPr>
        <w:t>Срок рассмотрения писем, уведомлений или претензий не может превышать 5 (пять) календарных дней с момента их получения.</w:t>
      </w:r>
    </w:p>
    <w:p>
      <w:pPr>
        <w:pStyle w:val="LBGovstyle2"/>
        <w:numPr>
          <w:ilvl w:val="1"/>
          <w:numId w:val="262"/>
        </w:numPr>
        <w:spacing w:before="0" w:after="0"/>
        <w:ind w:firstLine="709" w:left="0"/>
        <w:rPr>
          <w:lang w:val="ru-RU"/>
        </w:rPr>
      </w:pPr>
      <w:r>
        <w:rPr>
          <w:lang w:val="ru-RU"/>
        </w:rPr>
        <w:t xml:space="preserve">При неурегулировании Сторонами спора в досудебном порядке спор разрешается в судебном порядке </w:t>
      </w:r>
      <w:r>
        <w:rPr>
          <w:shd w:fill="auto" w:val="clear"/>
          <w:lang w:val="ru-RU"/>
        </w:rPr>
        <w:t>в</w:t>
      </w:r>
      <w:r>
        <w:rPr>
          <w:color w:val="000000"/>
          <w:shd w:fill="auto" w:val="clear"/>
          <w:lang w:val="ru-RU"/>
        </w:rPr>
        <w:t xml:space="preserve"> Арбитражном суде Волгоградской области</w:t>
      </w:r>
      <w:r>
        <w:rPr>
          <w:lang w:val="ru-RU"/>
        </w:rPr>
        <w:t>.</w:t>
      </w:r>
    </w:p>
    <w:p>
      <w:pPr>
        <w:pStyle w:val="LBGovstyle2"/>
        <w:spacing w:before="0" w:after="0"/>
        <w:ind w:firstLine="709"/>
        <w:rPr>
          <w:lang w:val="ru-RU"/>
        </w:rPr>
      </w:pPr>
      <w:r>
        <w:rPr>
          <w:lang w:val="ru-RU"/>
        </w:rPr>
      </w:r>
    </w:p>
    <w:p>
      <w:pPr>
        <w:pStyle w:val="LBGovstyle1"/>
        <w:numPr>
          <w:ilvl w:val="0"/>
          <w:numId w:val="263"/>
        </w:numPr>
        <w:spacing w:before="0" w:after="0"/>
        <w:ind w:firstLine="709" w:left="0"/>
        <w:rPr/>
      </w:pPr>
      <w:r>
        <w:rPr/>
        <w:t>Порядок изменения и расторжения Контракта</w:t>
      </w:r>
    </w:p>
    <w:p>
      <w:pPr>
        <w:pStyle w:val="LBGovstyle2"/>
        <w:numPr>
          <w:ilvl w:val="1"/>
          <w:numId w:val="264"/>
        </w:numPr>
        <w:spacing w:before="0" w:after="0"/>
        <w:ind w:firstLine="709" w:left="0"/>
        <w:rPr>
          <w:lang w:val="ru-RU"/>
        </w:rPr>
      </w:pPr>
      <w:r>
        <w:rPr>
          <w:lang w:val="ru-RU"/>
        </w:rPr>
        <w:t>Изменение существенных условий Контракта при его исполнении не допускается, за исключением случаев, предусмотренных Законом № 44-ФЗ.</w:t>
      </w:r>
    </w:p>
    <w:p>
      <w:pPr>
        <w:pStyle w:val="LBBodyText2"/>
        <w:spacing w:before="0" w:after="0"/>
        <w:ind w:firstLine="709" w:left="0"/>
        <w:rPr/>
      </w:pPr>
      <w:r>
        <w:rPr>
          <w:szCs w:val="22"/>
        </w:rPr>
        <w:t>Внесение изменений в Контракт осуществляется путем заключения Сторонами в письменной форме дополнительных соглашений к Контракту, являющихся неотъемлемой частью Контракта.</w:t>
      </w:r>
    </w:p>
    <w:p>
      <w:pPr>
        <w:pStyle w:val="LBGovstyle2"/>
        <w:numPr>
          <w:ilvl w:val="1"/>
          <w:numId w:val="265"/>
        </w:numPr>
        <w:spacing w:before="0" w:after="0"/>
        <w:ind w:firstLine="709" w:left="0"/>
        <w:rPr>
          <w:lang w:val="ru-RU"/>
        </w:rPr>
      </w:pPr>
      <w:r>
        <w:rPr>
          <w:lang w:val="ru-RU"/>
        </w:rPr>
        <w:t xml:space="preserve">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w:t>
      </w:r>
      <w:r>
        <w:rPr>
          <w:strike w:val="false"/>
          <w:dstrike w:val="false"/>
          <w:szCs w:val="22"/>
          <w:lang w:val="ru-RU"/>
        </w:rPr>
        <w:t>путем заключения Сторонами в письменной форме соглашения к Контракту, являющихся неотъемлемой частью Контракта</w:t>
      </w:r>
    </w:p>
    <w:p>
      <w:pPr>
        <w:pStyle w:val="LBGovstyle2"/>
        <w:numPr>
          <w:ilvl w:val="1"/>
          <w:numId w:val="266"/>
        </w:numPr>
        <w:spacing w:before="0" w:after="0"/>
        <w:ind w:firstLine="709" w:left="0"/>
        <w:rPr>
          <w:lang w:val="ru-RU"/>
        </w:rPr>
      </w:pPr>
      <w:r>
        <w:rPr>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LBBodyText2"/>
        <w:spacing w:before="0" w:after="0"/>
        <w:ind w:firstLine="709" w:left="0"/>
        <w:rPr/>
      </w:pPr>
      <w:r>
        <w:rPr/>
        <w:t>До принятия такого решения Заказчик вправе провести экспертизу оказанных услуг с привлечением экспертов, экспертных организаций.</w:t>
      </w:r>
    </w:p>
    <w:p>
      <w:pPr>
        <w:pStyle w:val="LBGovstyle2"/>
        <w:numPr>
          <w:ilvl w:val="1"/>
          <w:numId w:val="267"/>
        </w:numPr>
        <w:spacing w:before="0" w:after="0"/>
        <w:ind w:firstLine="709" w:left="0"/>
        <w:rPr>
          <w:lang w:val="ru-RU"/>
        </w:rPr>
      </w:pPr>
      <w:r>
        <w:rPr>
          <w:lang w:val="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LBGovstyle2"/>
        <w:numPr>
          <w:ilvl w:val="1"/>
          <w:numId w:val="268"/>
        </w:numPr>
        <w:spacing w:before="0" w:after="0"/>
        <w:ind w:firstLine="709" w:left="0"/>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pPr>
        <w:pStyle w:val="LBGovstyle2"/>
        <w:numPr>
          <w:ilvl w:val="1"/>
          <w:numId w:val="269"/>
        </w:numPr>
        <w:spacing w:before="0" w:after="0"/>
        <w:ind w:firstLine="709" w:left="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LBGovstyle2"/>
        <w:numPr>
          <w:ilvl w:val="1"/>
          <w:numId w:val="270"/>
        </w:numPr>
        <w:spacing w:before="0" w:after="0"/>
        <w:ind w:firstLine="709" w:left="0"/>
        <w:rPr>
          <w:lang w:val="ru-RU"/>
        </w:rPr>
      </w:pPr>
      <w:r>
        <w:rPr>
          <w:lang w:val="ru-RU"/>
        </w:rPr>
        <w:t xml:space="preserve">Исполнитель вправе принять решение об одностороннем отказе от исполнения Контракта по основаниям, предусмотренным Гражданским </w:t>
      </w:r>
      <w:r>
        <w:rPr>
          <w:rStyle w:val="r"/>
          <w:lang w:val="ru-RU"/>
        </w:rPr>
        <w:t>кодексом</w:t>
      </w:r>
      <w:r>
        <w:rPr>
          <w:lang w:val="ru-RU"/>
        </w:rPr>
        <w:t xml:space="preserve"> Российской Федерации для одностороннего отказа от исполнения отдельных видов обязательств.</w:t>
      </w:r>
    </w:p>
    <w:p>
      <w:pPr>
        <w:pStyle w:val="LBGovstyle2"/>
        <w:numPr>
          <w:ilvl w:val="1"/>
          <w:numId w:val="271"/>
        </w:numPr>
        <w:spacing w:before="0" w:after="0"/>
        <w:ind w:firstLine="709" w:left="0"/>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pPr>
        <w:pStyle w:val="LBGovstyle2"/>
        <w:numPr>
          <w:ilvl w:val="1"/>
          <w:numId w:val="272"/>
        </w:numPr>
        <w:spacing w:before="0" w:after="0"/>
        <w:ind w:firstLine="709" w:left="0"/>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LBGovstyle2"/>
        <w:numPr>
          <w:ilvl w:val="1"/>
          <w:numId w:val="273"/>
        </w:numPr>
        <w:spacing w:before="0" w:after="0"/>
        <w:ind w:firstLine="709" w:left="0"/>
        <w:rPr>
          <w:lang w:val="ru-RU"/>
        </w:rPr>
      </w:pPr>
      <w:r>
        <w:rPr>
          <w:lang w:val="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LBGovstyle2"/>
        <w:numPr>
          <w:ilvl w:val="1"/>
          <w:numId w:val="274"/>
        </w:numPr>
        <w:spacing w:before="0" w:after="0"/>
        <w:ind w:firstLine="709" w:left="0"/>
        <w:rPr>
          <w:lang w:val="ru-RU"/>
        </w:rPr>
      </w:pPr>
      <w:r>
        <w:rPr>
          <w:lang w:val="ru-RU"/>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 возможно либо возникает нецелесообразность исполнения Контракта.</w:t>
      </w:r>
    </w:p>
    <w:p>
      <w:pPr>
        <w:pStyle w:val="LBGovstyle2"/>
        <w:numPr>
          <w:ilvl w:val="1"/>
          <w:numId w:val="275"/>
        </w:numPr>
        <w:spacing w:before="0" w:after="0"/>
        <w:ind w:firstLine="709" w:left="0"/>
        <w:rPr>
          <w:lang w:val="ru-RU"/>
        </w:rPr>
      </w:pPr>
      <w:r>
        <w:rPr>
          <w:lang w:val="ru-RU"/>
        </w:rPr>
        <w:t>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w:t>
      </w:r>
    </w:p>
    <w:p>
      <w:pPr>
        <w:pStyle w:val="LBGovstyle2"/>
        <w:numPr>
          <w:ilvl w:val="1"/>
          <w:numId w:val="276"/>
        </w:numPr>
        <w:spacing w:before="0" w:after="0"/>
        <w:ind w:firstLine="709" w:left="0"/>
        <w:rPr>
          <w:lang w:val="ru-RU"/>
        </w:rPr>
      </w:pPr>
      <w:r>
        <w:rPr>
          <w:lang w:val="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pPr>
        <w:pStyle w:val="LBGovstyle2"/>
        <w:spacing w:before="0" w:after="0"/>
        <w:ind w:firstLine="709"/>
        <w:rPr>
          <w:lang w:val="ru-RU"/>
        </w:rPr>
      </w:pPr>
      <w:r>
        <w:rPr>
          <w:lang w:val="ru-RU"/>
        </w:rPr>
      </w:r>
    </w:p>
    <w:p>
      <w:pPr>
        <w:pStyle w:val="LBGovstyle1"/>
        <w:numPr>
          <w:ilvl w:val="0"/>
          <w:numId w:val="277"/>
        </w:numPr>
        <w:spacing w:before="0" w:after="0"/>
        <w:ind w:firstLine="709" w:left="0"/>
        <w:rPr/>
      </w:pPr>
      <w:r>
        <w:rPr/>
        <w:t>Срок действия Контракта</w:t>
      </w:r>
    </w:p>
    <w:p>
      <w:pPr>
        <w:pStyle w:val="LBGovstyle2"/>
        <w:numPr>
          <w:ilvl w:val="1"/>
          <w:numId w:val="278"/>
        </w:numPr>
        <w:spacing w:before="0" w:after="0"/>
        <w:ind w:firstLine="709" w:left="0"/>
        <w:rPr>
          <w:lang w:val="ru-RU"/>
        </w:rPr>
      </w:pPr>
      <w:bookmarkStart w:id="5" w:name="_Ref97577555"/>
      <w:bookmarkEnd w:id="5"/>
      <w:r>
        <w:rPr>
          <w:lang w:val="ru-RU"/>
        </w:rPr>
        <w:t>Контракт вступает в силу с даты его заключения Сторонами и действует</w:t>
        <w:br/>
        <w:t>до "31" декабря 2026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pPr>
        <w:pStyle w:val="LBGovstyle2"/>
        <w:spacing w:before="0" w:after="0"/>
        <w:ind w:firstLine="709"/>
        <w:rPr>
          <w:lang w:val="ru-RU"/>
        </w:rPr>
      </w:pPr>
      <w:r>
        <w:rPr>
          <w:lang w:val="ru-RU"/>
        </w:rPr>
      </w:r>
    </w:p>
    <w:p>
      <w:pPr>
        <w:pStyle w:val="LBGovstyle1"/>
        <w:numPr>
          <w:ilvl w:val="0"/>
          <w:numId w:val="279"/>
        </w:numPr>
        <w:spacing w:before="0" w:after="0"/>
        <w:ind w:firstLine="709" w:left="0"/>
        <w:rPr/>
      </w:pPr>
      <w:r>
        <w:rPr/>
        <w:t>Прочие условия</w:t>
      </w:r>
    </w:p>
    <w:p>
      <w:pPr>
        <w:pStyle w:val="LBGovstyle2"/>
        <w:numPr>
          <w:ilvl w:val="1"/>
          <w:numId w:val="280"/>
        </w:numPr>
        <w:spacing w:before="0" w:after="0"/>
        <w:ind w:firstLine="709" w:left="0"/>
        <w:rPr>
          <w:lang w:val="ru-RU"/>
        </w:rPr>
      </w:pPr>
      <w:r>
        <w:rPr>
          <w:lang w:val="ru-RU"/>
        </w:rPr>
        <w:t xml:space="preserve">Исполнитель гарантирует качество оказания всех услуг. </w:t>
      </w:r>
    </w:p>
    <w:p>
      <w:pPr>
        <w:pStyle w:val="LBGovstyle2"/>
        <w:numPr>
          <w:ilvl w:val="1"/>
          <w:numId w:val="281"/>
        </w:numPr>
        <w:spacing w:before="0" w:after="0"/>
        <w:ind w:firstLine="709" w:left="0"/>
        <w:rPr>
          <w:lang w:val="ru-RU"/>
        </w:rPr>
      </w:pPr>
      <w:r>
        <w:rPr>
          <w:lang w:val="ru-RU"/>
        </w:rPr>
        <w:t>Все приложения к Контракту являются его неотъемлемой частью.</w:t>
      </w:r>
    </w:p>
    <w:p>
      <w:pPr>
        <w:pStyle w:val="LBGovstyle2"/>
        <w:numPr>
          <w:ilvl w:val="1"/>
          <w:numId w:val="282"/>
        </w:numPr>
        <w:spacing w:before="0" w:after="0"/>
        <w:ind w:firstLine="709" w:left="0"/>
        <w:rPr/>
      </w:pPr>
      <w:r>
        <w:rPr>
          <w:lang w:val="ru-RU"/>
        </w:rPr>
        <w:t xml:space="preserve">К Контракту прилагаются:  </w:t>
      </w:r>
    </w:p>
    <w:p>
      <w:pPr>
        <w:pStyle w:val="LBGovstyle2"/>
        <w:spacing w:before="0" w:after="0"/>
        <w:ind w:firstLine="709"/>
        <w:rPr/>
      </w:pPr>
      <w:r>
        <w:rPr>
          <w:lang w:val="ru-RU"/>
        </w:rPr>
        <w:t>- Спецификация (Приложение № 1)</w:t>
      </w:r>
    </w:p>
    <w:p>
      <w:pPr>
        <w:pStyle w:val="LBBodyText2"/>
        <w:spacing w:before="0" w:after="0"/>
        <w:ind w:firstLine="709" w:left="0"/>
        <w:rPr/>
      </w:pPr>
      <w:r>
        <w:rPr>
          <w:szCs w:val="22"/>
        </w:rPr>
        <w:t>- Описание объекта закупки (Приложение № 2)</w:t>
      </w:r>
    </w:p>
    <w:p>
      <w:pPr>
        <w:pStyle w:val="LBGovstyle2"/>
        <w:numPr>
          <w:ilvl w:val="1"/>
          <w:numId w:val="283"/>
        </w:numPr>
        <w:spacing w:before="0" w:after="0"/>
        <w:ind w:firstLine="709" w:left="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(трех) рабочих дней с даты такого изменения.</w:t>
      </w:r>
    </w:p>
    <w:p>
      <w:pPr>
        <w:pStyle w:val="LBGovstyle2"/>
        <w:numPr>
          <w:ilvl w:val="1"/>
          <w:numId w:val="284"/>
        </w:numPr>
        <w:spacing w:before="0" w:after="0"/>
        <w:ind w:firstLine="709" w:left="0"/>
        <w:rPr>
          <w:lang w:val="ru-RU"/>
        </w:rPr>
      </w:pPr>
      <w:r>
        <w:rPr>
          <w:lang w:val="ru-RU"/>
        </w:rPr>
        <w:t>При исполнении Контракта по согласованию Заказчика с Исполнителем допускается оказание услуги, качество, технические характеристики которой являются улучшенными по сравнению с качеством и соответствующими техническими характеристиками, указанными в Контракте.</w:t>
      </w:r>
    </w:p>
    <w:p>
      <w:pPr>
        <w:pStyle w:val="LBGovstyle2"/>
        <w:numPr>
          <w:ilvl w:val="1"/>
          <w:numId w:val="285"/>
        </w:numPr>
        <w:spacing w:before="0" w:after="0"/>
        <w:ind w:firstLine="709" w:left="0"/>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pPr>
        <w:pStyle w:val="LBGovstyle2"/>
        <w:numPr>
          <w:ilvl w:val="1"/>
          <w:numId w:val="286"/>
        </w:numPr>
        <w:spacing w:before="0" w:after="0"/>
        <w:ind w:firstLine="709" w:left="0"/>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pPr>
        <w:pStyle w:val="LBGovstyle2"/>
        <w:numPr>
          <w:ilvl w:val="1"/>
          <w:numId w:val="287"/>
        </w:numPr>
        <w:spacing w:before="0" w:after="0"/>
        <w:ind w:firstLine="709" w:left="0"/>
        <w:rPr>
          <w:lang w:val="ru-RU"/>
        </w:rPr>
      </w:pPr>
      <w:r>
        <w:rPr>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выплачивать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pPr>
        <w:pStyle w:val="LBGovstyle2"/>
        <w:spacing w:before="0" w:after="0"/>
        <w:ind w:firstLine="709"/>
        <w:rPr>
          <w:lang w:val="ru-RU"/>
        </w:rPr>
      </w:pPr>
      <w:r>
        <w:rPr>
          <w:lang w:val="ru-RU"/>
        </w:rPr>
      </w:r>
    </w:p>
    <w:p>
      <w:pPr>
        <w:pStyle w:val="LBGovstyle1"/>
        <w:numPr>
          <w:ilvl w:val="0"/>
          <w:numId w:val="288"/>
        </w:numPr>
        <w:spacing w:before="0" w:after="0"/>
        <w:ind w:firstLine="709" w:left="0"/>
        <w:rPr/>
      </w:pPr>
      <w:r>
        <w:rPr/>
        <w:t>Адреса места нахождения, банковские реквизиты и подписи Сторон</w:t>
      </w:r>
    </w:p>
    <w:tbl>
      <w:tblPr>
        <w:tblW w:w="9570" w:type="dxa"/>
        <w:jc w:val="left"/>
        <w:tblInd w:w="-98" w:type="dxa"/>
        <w:tblLayout w:type="fixed"/>
        <w:tblCellMar>
          <w:top w:w="0" w:type="dxa"/>
          <w:left w:w="10" w:type="dxa"/>
          <w:bottom w:w="0" w:type="dxa"/>
          <w:right w:w="10" w:type="dxa"/>
        </w:tblCellMar>
        <w:tblLook w:val="0000" w:noHBand="0" w:noVBand="0" w:firstColumn="0" w:lastRow="0" w:lastColumn="0" w:firstRow="0"/>
      </w:tblPr>
      <w:tblGrid>
        <w:gridCol w:w="4785"/>
        <w:gridCol w:w="4784"/>
      </w:tblGrid>
      <w:tr>
        <w:trPr/>
        <w:tc>
          <w:tcPr>
            <w:tcW w:w="4785" w:type="dxa"/>
            <w:tcBorders/>
          </w:tcPr>
          <w:p>
            <w:pPr>
              <w:pStyle w:val="LBBodyText2"/>
              <w:spacing w:before="0" w:after="0"/>
              <w:ind w:firstLine="709" w:left="0"/>
              <w:jc w:val="left"/>
              <w:rPr>
                <w:szCs w:val="22"/>
              </w:rPr>
            </w:pPr>
            <w:r>
              <w:rPr>
                <w:szCs w:val="22"/>
              </w:rPr>
              <w:t>Реквизиты Заказчика:</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Государственное казенное учреждение</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"Центр сопровождения закупок</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государственных учреждений здравоохранения</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 xml:space="preserve">Волгоградской области" </w:t>
            </w:r>
            <w:r>
              <w:rPr>
                <w:rFonts w:eastAsia="Times New Roman" w:cs="Times New Roman" w:ascii="Times New Roman" w:hAnsi="Times New Roman"/>
                <w:color w:val="000000"/>
                <w:kern w:val="0"/>
                <w:sz w:val="22"/>
                <w:szCs w:val="22"/>
                <w:shd w:fill="auto" w:val="clear"/>
                <w:lang w:val="ru-RU" w:eastAsia="ru-RU" w:bidi="ar-SA"/>
              </w:rPr>
              <w:t>(ГКУ "ЦСЗ ГУЗ ВО")</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400119, г. Волгоград, ул. Туркменская, д.6</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Телефон: (8442) 95-15-07, 95-15-42</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E-mail: cszvo@volganet.ru</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ИНН 3460088465 / КПП 346001001</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ОГРН 1253400007926</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Плательщик – комитет финансов Волгоградской области (ГОСУДАРСТВЕННОЕ КАЗЕННОЕ УЧРЕЖДЕНИЕ "ЦЕНТР СОПРОВОЖДЕНИЯ ЗАКУПОК ГОСУДАРСТВЕННЫХ УЧРЕЖДЕНИЙ ЗДРАВООХРАНЕНИЯ ВОЛГОГРАДСКОЙ ОБЛАСТИ")</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Лицевой счет – 03523ИЛ2J20</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Банк плательщика – ОКЦ № 4 Южного ГУ Банка России//УФК по Волгоградской области г.Волгоград</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БИК банка плательщика – 011806101</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Сч. № банка плательщика – 40102810445370000021</w:t>
            </w:r>
          </w:p>
          <w:p>
            <w:pPr>
              <w:pStyle w:val="Normal"/>
              <w:widowControl/>
              <w:suppressAutoHyphens w:val="true"/>
              <w:spacing w:lineRule="auto" w:line="240" w:before="0" w:after="0"/>
              <w:ind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Сч. № плательщика – 03221643180000002900</w:t>
            </w:r>
          </w:p>
          <w:p>
            <w:pPr>
              <w:pStyle w:val="ConsPlusNormal1"/>
              <w:suppressAutoHyphens w:val="true"/>
              <w:spacing w:lineRule="auto" w:line="240" w:before="0" w:after="0"/>
              <w:ind w:hanging="0" w:left="0"/>
              <w:jc w:val="left"/>
              <w:rPr>
                <w:rFonts w:ascii="Times New Roman" w:hAnsi="Times New Roman"/>
              </w:rPr>
            </w:pPr>
            <w:r>
              <w:rPr>
                <w:rFonts w:eastAsia="Times New Roman" w:cs="Times New Roman" w:ascii="Times New Roman" w:hAnsi="Times New Roman"/>
                <w:color w:val="000000"/>
                <w:kern w:val="0"/>
                <w:sz w:val="22"/>
                <w:szCs w:val="20"/>
                <w:shd w:fill="auto" w:val="clear"/>
                <w:lang w:val="ru-RU" w:eastAsia="en-US" w:bidi="ar-SA"/>
              </w:rPr>
              <w:t>ОКТМО - 18701000001</w:t>
            </w:r>
          </w:p>
          <w:p>
            <w:pPr>
              <w:pStyle w:val="LBBodyText2"/>
              <w:spacing w:before="0" w:after="0"/>
              <w:ind w:firstLine="709" w:left="0"/>
              <w:jc w:val="left"/>
              <w:rPr/>
            </w:pPr>
            <w:r>
              <w:rPr/>
            </w:r>
          </w:p>
        </w:tc>
        <w:tc>
          <w:tcPr>
            <w:tcW w:w="4784" w:type="dxa"/>
            <w:tcBorders/>
            <w:tcMar>
              <w:left w:w="108" w:type="dxa"/>
              <w:right w:w="108" w:type="dxa"/>
            </w:tcMar>
          </w:tcPr>
          <w:p>
            <w:pPr>
              <w:pStyle w:val="LBBodyText2"/>
              <w:spacing w:before="0" w:after="0"/>
              <w:ind w:firstLine="709" w:left="0"/>
              <w:jc w:val="left"/>
              <w:rPr>
                <w:szCs w:val="22"/>
              </w:rPr>
            </w:pPr>
            <w:r>
              <w:rPr>
                <w:szCs w:val="22"/>
              </w:rPr>
              <w:t>Реквизиты Исполнителя:</w:t>
            </w:r>
          </w:p>
        </w:tc>
      </w:tr>
    </w:tbl>
    <w:p>
      <w:pPr>
        <w:pStyle w:val="LBBodyText2"/>
        <w:spacing w:before="0" w:after="0"/>
        <w:ind w:firstLine="709" w:left="0"/>
        <w:rPr>
          <w:b/>
          <w:bCs/>
        </w:rPr>
      </w:pPr>
      <w:r>
        <w:rPr>
          <w:b/>
          <w:bCs/>
        </w:rPr>
        <w:t>Подписи сторон</w:t>
      </w:r>
    </w:p>
    <w:p>
      <w:pPr>
        <w:pStyle w:val="LBBodyText2"/>
        <w:spacing w:before="0" w:after="0"/>
        <w:ind w:firstLine="709" w:left="0"/>
        <w:rPr>
          <w:b/>
          <w:bCs/>
        </w:rPr>
      </w:pPr>
      <w:r>
        <w:rPr>
          <w:b/>
          <w:bCs/>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4637"/>
        <w:gridCol w:w="4716"/>
      </w:tblGrid>
      <w:tr>
        <w:trPr/>
        <w:tc>
          <w:tcPr>
            <w:tcW w:w="4637" w:type="dxa"/>
            <w:tcBorders/>
          </w:tcPr>
          <w:p>
            <w:pPr>
              <w:pStyle w:val="ConsPlusNormal1"/>
              <w:ind w:hanging="0"/>
              <w:rPr/>
            </w:pPr>
            <w:r>
              <w:rPr>
                <w:rFonts w:cs="Times New Roman" w:ascii="Times New Roman" w:hAnsi="Times New Roman"/>
                <w:szCs w:val="22"/>
              </w:rPr>
              <w:t>Заказчик</w:t>
            </w:r>
            <w:r>
              <w:rPr>
                <w:rFonts w:cs="Times New Roman" w:ascii="Times New Roman" w:hAnsi="Times New Roman"/>
              </w:rPr>
              <w:t>:</w:t>
            </w:r>
          </w:p>
        </w:tc>
        <w:tc>
          <w:tcPr>
            <w:tcW w:w="4716" w:type="dxa"/>
            <w:tcBorders/>
          </w:tcPr>
          <w:p>
            <w:pPr>
              <w:pStyle w:val="ConsPlusNormal1"/>
              <w:ind w:hanging="0"/>
              <w:rPr/>
            </w:pPr>
            <w:r>
              <w:rPr>
                <w:rFonts w:cs="Times New Roman" w:ascii="Times New Roman" w:hAnsi="Times New Roman"/>
                <w:szCs w:val="22"/>
              </w:rPr>
              <w:t>Исполнитель</w:t>
            </w:r>
            <w:r>
              <w:rPr>
                <w:rFonts w:cs="Times New Roman" w:ascii="Times New Roman" w:hAnsi="Times New Roman"/>
              </w:rPr>
              <w:t>:</w:t>
            </w:r>
          </w:p>
        </w:tc>
      </w:tr>
      <w:tr>
        <w:trPr/>
        <w:tc>
          <w:tcPr>
            <w:tcW w:w="4637" w:type="dxa"/>
            <w:tcBorders/>
          </w:tcPr>
          <w:p>
            <w:pPr>
              <w:pStyle w:val="ConsPlusNormal1"/>
              <w:ind w:hanging="0"/>
              <w:rPr>
                <w:rFonts w:ascii="Times New Roman" w:hAnsi="Times New Roman" w:cs="Times New Roman"/>
              </w:rPr>
            </w:pPr>
            <w:r>
              <w:rPr>
                <w:rFonts w:cs="Times New Roman" w:ascii="Times New Roman" w:hAnsi="Times New Roman"/>
              </w:rPr>
            </w:r>
          </w:p>
          <w:p>
            <w:pPr>
              <w:pStyle w:val="ConsPlusNormal1"/>
              <w:ind w:hanging="0"/>
              <w:rPr/>
            </w:pPr>
            <w:r>
              <w:rPr>
                <w:rFonts w:cs="Times New Roman" w:ascii="Times New Roman" w:hAnsi="Times New Roman"/>
              </w:rPr>
              <w:t>______________________ /А.А.Сухов</w:t>
            </w:r>
          </w:p>
        </w:tc>
        <w:tc>
          <w:tcPr>
            <w:tcW w:w="4716" w:type="dxa"/>
            <w:tcBorders/>
          </w:tcPr>
          <w:p>
            <w:pPr>
              <w:pStyle w:val="Normal"/>
              <w:tabs>
                <w:tab w:val="clear" w:pos="708"/>
                <w:tab w:val="left" w:pos="3250" w:leader="none"/>
              </w:tabs>
              <w:spacing w:lineRule="auto" w:line="240" w:before="0" w:after="0"/>
              <w:ind w:hanging="0"/>
              <w:jc w:val="both"/>
              <w:rPr/>
            </w:pPr>
            <w:r>
              <w:rPr/>
            </w:r>
          </w:p>
          <w:p>
            <w:pPr>
              <w:pStyle w:val="Normal"/>
              <w:tabs>
                <w:tab w:val="clear" w:pos="708"/>
                <w:tab w:val="left" w:pos="3250" w:leader="none"/>
              </w:tabs>
              <w:spacing w:lineRule="auto" w:line="240" w:before="0" w:after="0"/>
              <w:ind w:hanging="0"/>
              <w:jc w:val="both"/>
              <w:rPr/>
            </w:pPr>
            <w:r>
              <w:rPr/>
              <w:t>______________________ /___________</w:t>
            </w:r>
          </w:p>
        </w:tc>
      </w:tr>
      <w:tr>
        <w:trPr/>
        <w:tc>
          <w:tcPr>
            <w:tcW w:w="4637" w:type="dxa"/>
            <w:tcBorders/>
          </w:tcPr>
          <w:p>
            <w:pPr>
              <w:pStyle w:val="ConsPlusNormal1"/>
              <w:ind w:hanging="0"/>
              <w:rPr/>
            </w:pPr>
            <w:r>
              <w:rPr>
                <w:rFonts w:cs="Times New Roman" w:ascii="Times New Roman" w:hAnsi="Times New Roman"/>
              </w:rPr>
              <w:t>"____" _____________ 2026 г.</w:t>
            </w:r>
          </w:p>
        </w:tc>
        <w:tc>
          <w:tcPr>
            <w:tcW w:w="4716" w:type="dxa"/>
            <w:tcBorders/>
          </w:tcPr>
          <w:p>
            <w:pPr>
              <w:pStyle w:val="ConsPlusNormal1"/>
              <w:ind w:hanging="0"/>
              <w:rPr/>
            </w:pPr>
            <w:r>
              <w:rPr>
                <w:rFonts w:cs="Times New Roman" w:ascii="Times New Roman" w:hAnsi="Times New Roman"/>
              </w:rPr>
              <w:t>"____" _____________ 2026 г.</w:t>
            </w:r>
          </w:p>
        </w:tc>
      </w:tr>
      <w:tr>
        <w:trPr/>
        <w:tc>
          <w:tcPr>
            <w:tcW w:w="4637" w:type="dxa"/>
            <w:tcBorders/>
          </w:tcPr>
          <w:p>
            <w:pPr>
              <w:pStyle w:val="ConsPlusNormal1"/>
              <w:ind w:hanging="0"/>
              <w:rPr/>
            </w:pPr>
            <w:r>
              <w:rPr>
                <w:rFonts w:cs="Times New Roman" w:ascii="Times New Roman" w:hAnsi="Times New Roman"/>
                <w:lang w:val="ru-RU"/>
              </w:rPr>
              <w:t>М.П.</w:t>
            </w:r>
          </w:p>
        </w:tc>
        <w:tc>
          <w:tcPr>
            <w:tcW w:w="4716" w:type="dxa"/>
            <w:tcBorders/>
          </w:tcPr>
          <w:p>
            <w:pPr>
              <w:pStyle w:val="ConsPlusNormal1"/>
              <w:ind w:hanging="0"/>
              <w:rPr/>
            </w:pPr>
            <w:r>
              <w:rPr>
                <w:rFonts w:cs="Times New Roman" w:ascii="Times New Roman" w:hAnsi="Times New Roman"/>
                <w:lang w:val="ru-RU"/>
              </w:rPr>
              <w:t>М.П. (при наличии печати)</w:t>
            </w:r>
          </w:p>
        </w:tc>
      </w:tr>
    </w:tbl>
    <w:p>
      <w:pPr>
        <w:sectPr>
          <w:footerReference w:type="even" r:id="rId2"/>
          <w:footerReference w:type="default" r:id="rId3"/>
          <w:footerReference w:type="first" r:id="rId4"/>
          <w:type w:val="nextPage"/>
          <w:pgSz w:w="11906" w:h="16838"/>
          <w:pgMar w:left="1701" w:right="851" w:gutter="0" w:header="0" w:top="1134" w:footer="164" w:bottom="1134"/>
          <w:pgNumType w:start="1" w:fmt="decimal"/>
          <w:formProt w:val="false"/>
          <w:textDirection w:val="lrTb"/>
          <w:docGrid w:type="default" w:linePitch="100" w:charSpace="0"/>
        </w:sectPr>
      </w:pPr>
      <w:r>
        <w:br w:type="page"/>
      </w:r>
    </w:p>
    <w:p>
      <w:pPr>
        <w:pStyle w:val="Normal"/>
        <w:spacing w:lineRule="auto" w:line="240" w:before="0" w:after="0"/>
        <w:ind w:firstLine="709"/>
        <w:jc w:val="right"/>
        <w:rPr>
          <w:rFonts w:ascii="Times New Roman" w:hAnsi="Times New Roman"/>
        </w:rPr>
      </w:pPr>
      <w:r>
        <w:rPr>
          <w:rFonts w:ascii="Times New Roman" w:hAnsi="Times New Roman"/>
        </w:rPr>
        <w:t>Приложение № 1</w:t>
      </w:r>
    </w:p>
    <w:p>
      <w:pPr>
        <w:pStyle w:val="Normal"/>
        <w:spacing w:lineRule="auto" w:line="240" w:before="0" w:after="0"/>
        <w:ind w:firstLine="709"/>
        <w:jc w:val="right"/>
        <w:rPr>
          <w:rFonts w:ascii="Times New Roman" w:hAnsi="Times New Roman"/>
        </w:rPr>
      </w:pPr>
      <w:r>
        <w:rPr>
          <w:rFonts w:ascii="Times New Roman" w:hAnsi="Times New Roman"/>
        </w:rPr>
        <w:t>к Контракту  № ____________</w:t>
      </w:r>
    </w:p>
    <w:p>
      <w:pPr>
        <w:pStyle w:val="Normal"/>
        <w:spacing w:lineRule="auto" w:line="240" w:before="0" w:after="0"/>
        <w:ind w:firstLine="709"/>
        <w:jc w:val="right"/>
        <w:rPr>
          <w:rFonts w:ascii="Times New Roman" w:hAnsi="Times New Roman"/>
        </w:rPr>
      </w:pPr>
      <w:r>
        <w:rPr>
          <w:rFonts w:ascii="Times New Roman" w:hAnsi="Times New Roman"/>
        </w:rPr>
        <w:t xml:space="preserve"> </w:t>
      </w:r>
      <w:r>
        <w:rPr>
          <w:rFonts w:ascii="Times New Roman" w:hAnsi="Times New Roman"/>
        </w:rPr>
        <w:t>от "___" _________2026 г.</w:t>
      </w:r>
    </w:p>
    <w:p>
      <w:pPr>
        <w:pStyle w:val="Normal"/>
        <w:spacing w:lineRule="auto" w:line="240" w:before="0" w:after="0"/>
        <w:ind w:firstLine="709"/>
        <w:jc w:val="center"/>
        <w:rPr/>
      </w:pPr>
      <w:r>
        <w:rPr/>
      </w:r>
    </w:p>
    <w:p>
      <w:pPr>
        <w:pStyle w:val="Normal"/>
        <w:spacing w:lineRule="auto" w:line="240" w:before="0" w:after="0"/>
        <w:ind w:firstLine="709"/>
        <w:jc w:val="center"/>
        <w:rPr>
          <w:rFonts w:ascii="Times New Roman" w:hAnsi="Times New Roman"/>
          <w:b/>
        </w:rPr>
      </w:pPr>
      <w:r>
        <w:rPr>
          <w:rFonts w:ascii="Times New Roman" w:hAnsi="Times New Roman"/>
          <w:b/>
        </w:rPr>
        <w:t xml:space="preserve">Спецификация </w:t>
      </w:r>
    </w:p>
    <w:p>
      <w:pPr>
        <w:pStyle w:val="Normal"/>
        <w:spacing w:lineRule="auto" w:line="240" w:before="0" w:after="0"/>
        <w:ind w:firstLine="709"/>
        <w:jc w:val="center"/>
        <w:rPr>
          <w:rFonts w:ascii="Times New Roman" w:hAnsi="Times New Roman"/>
          <w:b/>
        </w:rPr>
      </w:pPr>
      <w:r>
        <w:rPr>
          <w:rFonts w:ascii="Times New Roman" w:hAnsi="Times New Roman"/>
          <w:b/>
        </w:rPr>
      </w:r>
    </w:p>
    <w:tbl>
      <w:tblPr>
        <w:tblW w:w="913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566"/>
        <w:gridCol w:w="4405"/>
        <w:gridCol w:w="922"/>
        <w:gridCol w:w="679"/>
        <w:gridCol w:w="1247"/>
        <w:gridCol w:w="1310"/>
      </w:tblGrid>
      <w:tr>
        <w:trPr/>
        <w:tc>
          <w:tcPr>
            <w:tcW w:w="56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 xml:space="preserve">№ </w:t>
            </w:r>
            <w:r>
              <w:rPr>
                <w:rFonts w:ascii="Times New Roman" w:hAnsi="Times New Roman"/>
                <w:bCs/>
              </w:rPr>
              <w:t>п/п</w:t>
            </w:r>
          </w:p>
        </w:tc>
        <w:tc>
          <w:tcPr>
            <w:tcW w:w="4405"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Наименование услуг</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eastAsia="Arial Unicode MS" w:ascii="Times New Roman" w:hAnsi="Times New Roman"/>
                <w:kern w:val="2"/>
                <w:lang w:eastAsia="hi-IN" w:bidi="hi-IN"/>
              </w:rPr>
              <w:t>Ед. изм</w:t>
            </w:r>
            <w:r>
              <w:rPr>
                <w:rFonts w:eastAsia="Arial Unicode MS" w:ascii="Times New Roman" w:hAnsi="Times New Roman"/>
                <w:kern w:val="2"/>
                <w:sz w:val="24"/>
                <w:szCs w:val="24"/>
                <w:lang w:eastAsia="hi-IN" w:bidi="hi-IN"/>
              </w:rPr>
              <w:t>.</w:t>
            </w:r>
          </w:p>
        </w:tc>
        <w:tc>
          <w:tcPr>
            <w:tcW w:w="67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eastAsia="Arial Unicode MS" w:ascii="Times New Roman" w:hAnsi="Times New Roman"/>
                <w:kern w:val="2"/>
                <w:lang w:eastAsia="hi-IN" w:bidi="hi-IN"/>
              </w:rPr>
              <w:t>Кол-во</w:t>
            </w:r>
          </w:p>
        </w:tc>
        <w:tc>
          <w:tcPr>
            <w:tcW w:w="124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Цена за ед., руб.</w:t>
            </w:r>
          </w:p>
        </w:tc>
        <w:tc>
          <w:tcPr>
            <w:tcW w:w="131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Сумма, руб.</w:t>
            </w:r>
          </w:p>
        </w:tc>
      </w:tr>
      <w:tr>
        <w:trPr/>
        <w:tc>
          <w:tcPr>
            <w:tcW w:w="56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ind w:hanging="0"/>
              <w:jc w:val="center"/>
              <w:rPr/>
            </w:pPr>
            <w:r>
              <w:rPr>
                <w:rFonts w:ascii="Times New Roman" w:hAnsi="Times New Roman"/>
                <w:bCs/>
              </w:rPr>
              <w:t>1.</w:t>
            </w:r>
          </w:p>
        </w:tc>
        <w:tc>
          <w:tcPr>
            <w:tcW w:w="4405" w:type="dxa"/>
            <w:tcBorders>
              <w:top w:val="single" w:sz="4" w:space="0" w:color="000000"/>
              <w:left w:val="single" w:sz="4" w:space="0" w:color="000000"/>
              <w:bottom w:val="single" w:sz="4" w:space="0" w:color="000000"/>
            </w:tcBorders>
          </w:tcPr>
          <w:p>
            <w:pPr>
              <w:pStyle w:val="Normal"/>
              <w:widowControl/>
              <w:suppressAutoHyphens w:val="true"/>
              <w:spacing w:lineRule="auto" w:line="240" w:before="0" w:after="0"/>
              <w:jc w:val="left"/>
              <w:rPr>
                <w:sz w:val="22"/>
                <w:szCs w:val="22"/>
              </w:rPr>
            </w:pPr>
            <w:r>
              <w:rPr>
                <w:rFonts w:eastAsia="Calibri" w:cs="Times New Roman" w:ascii="Times New Roman" w:hAnsi="Times New Roman"/>
                <w:kern w:val="0"/>
                <w:sz w:val="22"/>
                <w:szCs w:val="22"/>
                <w:lang w:val="ru-RU" w:eastAsia="en-US" w:bidi="ar-SA"/>
              </w:rPr>
              <w:t>Антивирусное программное обеспечение</w:t>
            </w:r>
          </w:p>
          <w:p>
            <w:pPr>
              <w:pStyle w:val="Normal"/>
              <w:bidi w:val="0"/>
              <w:spacing w:lineRule="auto" w:line="240" w:before="0" w:after="0"/>
              <w:jc w:val="left"/>
              <w:rPr/>
            </w:pPr>
            <w:r>
              <w:rPr>
                <w:rFonts w:eastAsia="Calibri" w:cs="Times New Roman" w:ascii="Times New Roman" w:hAnsi="Times New Roman"/>
                <w:b w:val="false"/>
                <w:bCs/>
                <w:i w:val="false"/>
                <w:strike w:val="false"/>
                <w:dstrike w:val="false"/>
                <w:outline w:val="false"/>
                <w:shadow w:val="false"/>
                <w:kern w:val="0"/>
                <w:sz w:val="22"/>
                <w:szCs w:val="22"/>
                <w:u w:val="none"/>
                <w:em w:val="none"/>
                <w:lang w:val="en-US" w:eastAsia="en-US" w:bidi="ar-SA"/>
              </w:rPr>
              <w:t xml:space="preserve">Kaspersky Endpoint Security </w:t>
            </w:r>
            <w:r>
              <w:rPr>
                <w:rFonts w:ascii="Times New Roman" w:hAnsi="Times New Roman"/>
                <w:b w:val="false"/>
                <w:i w:val="false"/>
                <w:strike w:val="false"/>
                <w:dstrike w:val="false"/>
                <w:outline w:val="false"/>
                <w:shadow w:val="false"/>
                <w:sz w:val="22"/>
                <w:szCs w:val="22"/>
                <w:u w:val="none"/>
                <w:em w:val="none"/>
              </w:rPr>
              <w:t>для бизнеса – Стандартный Band Q: 50-99 Node 1 year Base License</w:t>
            </w:r>
          </w:p>
        </w:tc>
        <w:tc>
          <w:tcPr>
            <w:tcW w:w="92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ind w:hanging="0"/>
              <w:jc w:val="center"/>
              <w:rPr>
                <w:rFonts w:ascii="Times New Roman" w:hAnsi="Times New Roman" w:eastAsia="Calibri" w:cs="Times New Roman"/>
                <w:color w:val="auto"/>
                <w:kern w:val="0"/>
                <w:sz w:val="22"/>
                <w:szCs w:val="22"/>
                <w:lang w:val="ru-RU" w:eastAsia="en-US" w:bidi="ar-SA"/>
              </w:rPr>
            </w:pPr>
            <w:r>
              <w:rPr>
                <w:rFonts w:eastAsia="Calibri" w:cs="Times New Roman" w:ascii="Times New Roman" w:hAnsi="Times New Roman"/>
                <w:color w:val="auto"/>
                <w:kern w:val="0"/>
                <w:sz w:val="22"/>
                <w:szCs w:val="22"/>
                <w:lang w:val="ru-RU" w:eastAsia="en-US" w:bidi="ar-SA"/>
              </w:rPr>
              <w:t>штука</w:t>
            </w:r>
          </w:p>
        </w:tc>
        <w:tc>
          <w:tcPr>
            <w:tcW w:w="67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ind w:hanging="0"/>
              <w:jc w:val="center"/>
              <w:rPr>
                <w:rFonts w:ascii="Times New Roman" w:hAnsi="Times New Roman" w:eastAsia="Calibri" w:cs="Times New Roman"/>
                <w:color w:val="auto"/>
                <w:kern w:val="0"/>
                <w:sz w:val="22"/>
                <w:szCs w:val="22"/>
                <w:lang w:val="ru-RU" w:eastAsia="en-US" w:bidi="ar-SA"/>
              </w:rPr>
            </w:pPr>
            <w:r>
              <w:rPr>
                <w:rFonts w:eastAsia="Calibri" w:cs="Times New Roman" w:ascii="Times New Roman" w:hAnsi="Times New Roman"/>
                <w:color w:val="auto"/>
                <w:kern w:val="0"/>
                <w:sz w:val="22"/>
                <w:szCs w:val="22"/>
                <w:lang w:val="ru-RU" w:eastAsia="en-US" w:bidi="ar-SA"/>
              </w:rPr>
              <w:t>95</w:t>
            </w:r>
          </w:p>
        </w:tc>
        <w:tc>
          <w:tcPr>
            <w:tcW w:w="124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bCs/>
                <w:sz w:val="24"/>
                <w:szCs w:val="24"/>
              </w:rPr>
            </w:pPr>
            <w:r>
              <w:rPr>
                <w:rFonts w:ascii="Times New Roman" w:hAnsi="Times New Roman"/>
                <w:bCs/>
                <w:sz w:val="24"/>
                <w:szCs w:val="24"/>
              </w:rPr>
            </w:r>
          </w:p>
        </w:tc>
        <w:tc>
          <w:tcPr>
            <w:tcW w:w="131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bCs/>
                <w:sz w:val="24"/>
                <w:szCs w:val="24"/>
              </w:rPr>
            </w:pPr>
            <w:r>
              <w:rPr>
                <w:rFonts w:ascii="Times New Roman" w:hAnsi="Times New Roman"/>
                <w:bCs/>
                <w:sz w:val="24"/>
                <w:szCs w:val="24"/>
              </w:rPr>
            </w:r>
          </w:p>
        </w:tc>
      </w:tr>
      <w:tr>
        <w:trPr/>
        <w:tc>
          <w:tcPr>
            <w:tcW w:w="566" w:type="dxa"/>
            <w:tcBorders>
              <w:left w:val="single" w:sz="4" w:space="0" w:color="000000"/>
              <w:bottom w:val="single" w:sz="4" w:space="0" w:color="000000"/>
            </w:tcBorders>
          </w:tcPr>
          <w:p>
            <w:pPr>
              <w:pStyle w:val="Normal"/>
              <w:widowControl w:val="false"/>
              <w:snapToGrid w:val="false"/>
              <w:spacing w:lineRule="auto" w:line="240" w:before="0" w:after="0"/>
              <w:ind w:hanging="0"/>
              <w:jc w:val="center"/>
              <w:rPr>
                <w:rFonts w:ascii="Times New Roman" w:hAnsi="Times New Roman"/>
              </w:rPr>
            </w:pPr>
            <w:r>
              <w:rPr>
                <w:rFonts w:ascii="Times New Roman" w:hAnsi="Times New Roman"/>
              </w:rPr>
              <w:t>2.</w:t>
            </w:r>
          </w:p>
        </w:tc>
        <w:tc>
          <w:tcPr>
            <w:tcW w:w="4405" w:type="dxa"/>
            <w:tcBorders>
              <w:left w:val="single" w:sz="4" w:space="0" w:color="000000"/>
              <w:bottom w:val="single" w:sz="4" w:space="0" w:color="000000"/>
            </w:tcBorders>
          </w:tcPr>
          <w:p>
            <w:pPr>
              <w:pStyle w:val="Normal"/>
              <w:bidi w:val="0"/>
              <w:spacing w:lineRule="auto" w:line="240" w:before="0" w:after="0"/>
              <w:jc w:val="left"/>
              <w:rPr>
                <w:rFonts w:ascii="Times New Roman" w:hAnsi="Times New Roman" w:eastAsia="Calibri" w:cs="Times New Roman"/>
                <w:color w:val="auto"/>
                <w:kern w:val="0"/>
                <w:sz w:val="22"/>
                <w:szCs w:val="22"/>
                <w:lang w:eastAsia="en-US" w:bidi="ar-SA"/>
              </w:rPr>
            </w:pPr>
            <w:r>
              <w:rPr>
                <w:rFonts w:eastAsia="Calibri" w:cs="Times New Roman" w:ascii="Times New Roman" w:hAnsi="Times New Roman"/>
                <w:color w:val="auto"/>
                <w:kern w:val="0"/>
                <w:sz w:val="22"/>
                <w:szCs w:val="22"/>
                <w:lang w:eastAsia="en-US" w:bidi="ar-SA"/>
              </w:rPr>
              <w:t>Kaspersky Стандартный Certified Media Pack Band Z: 1</w:t>
            </w:r>
          </w:p>
          <w:p>
            <w:pPr>
              <w:pStyle w:val="Normal"/>
              <w:bidi w:val="0"/>
              <w:spacing w:lineRule="auto" w:line="240" w:before="0" w:after="0"/>
              <w:jc w:val="left"/>
              <w:rPr>
                <w:rFonts w:ascii="Times New Roman" w:hAnsi="Times New Roman"/>
                <w:sz w:val="22"/>
                <w:szCs w:val="22"/>
              </w:rPr>
            </w:pPr>
            <w:r>
              <w:rPr>
                <w:rFonts w:eastAsia="Calibri" w:cs="Times New Roman" w:ascii="Times New Roman" w:hAnsi="Times New Roman"/>
                <w:color w:val="auto"/>
                <w:kern w:val="0"/>
                <w:sz w:val="22"/>
                <w:szCs w:val="22"/>
                <w:lang w:eastAsia="en-US" w:bidi="ar-SA"/>
              </w:rPr>
              <w:t>Media Pack</w:t>
            </w:r>
          </w:p>
        </w:tc>
        <w:tc>
          <w:tcPr>
            <w:tcW w:w="922" w:type="dxa"/>
            <w:tcBorders>
              <w:left w:val="single" w:sz="4" w:space="0" w:color="000000"/>
              <w:bottom w:val="single" w:sz="4" w:space="0" w:color="000000"/>
              <w:right w:val="single" w:sz="4" w:space="0" w:color="000000"/>
            </w:tcBorders>
          </w:tcPr>
          <w:p>
            <w:pPr>
              <w:pStyle w:val="Normal"/>
              <w:snapToGrid w:val="false"/>
              <w:spacing w:lineRule="auto" w:line="240" w:before="0" w:after="0"/>
              <w:ind w:hanging="0"/>
              <w:jc w:val="center"/>
              <w:rPr>
                <w:rFonts w:ascii="Times New Roman" w:hAnsi="Times New Roman" w:eastAsia="Calibri" w:cs="Times New Roman"/>
                <w:color w:val="auto"/>
                <w:kern w:val="0"/>
                <w:sz w:val="22"/>
                <w:szCs w:val="22"/>
                <w:lang w:val="ru-RU" w:eastAsia="en-US" w:bidi="ar-SA"/>
              </w:rPr>
            </w:pPr>
            <w:r>
              <w:rPr>
                <w:rFonts w:eastAsia="Calibri" w:cs="Times New Roman" w:ascii="Times New Roman" w:hAnsi="Times New Roman"/>
                <w:color w:val="auto"/>
                <w:kern w:val="0"/>
                <w:sz w:val="22"/>
                <w:szCs w:val="22"/>
                <w:lang w:val="ru-RU" w:eastAsia="en-US" w:bidi="ar-SA"/>
              </w:rPr>
              <w:t>штука</w:t>
            </w:r>
          </w:p>
        </w:tc>
        <w:tc>
          <w:tcPr>
            <w:tcW w:w="679" w:type="dxa"/>
            <w:tcBorders>
              <w:left w:val="single" w:sz="4" w:space="0" w:color="000000"/>
              <w:bottom w:val="single" w:sz="4" w:space="0" w:color="000000"/>
              <w:right w:val="single" w:sz="4" w:space="0" w:color="000000"/>
            </w:tcBorders>
          </w:tcPr>
          <w:p>
            <w:pPr>
              <w:pStyle w:val="Normal"/>
              <w:snapToGrid w:val="false"/>
              <w:spacing w:lineRule="auto" w:line="240" w:before="0" w:after="0"/>
              <w:ind w:hanging="0"/>
              <w:jc w:val="center"/>
              <w:rPr>
                <w:rFonts w:ascii="Times New Roman" w:hAnsi="Times New Roman" w:eastAsia="Calibri" w:cs="Times New Roman"/>
                <w:color w:val="auto"/>
                <w:kern w:val="0"/>
                <w:sz w:val="22"/>
                <w:szCs w:val="22"/>
                <w:lang w:val="ru-RU" w:eastAsia="en-US" w:bidi="ar-SA"/>
              </w:rPr>
            </w:pPr>
            <w:r>
              <w:rPr>
                <w:rFonts w:eastAsia="Calibri" w:cs="Times New Roman" w:ascii="Times New Roman" w:hAnsi="Times New Roman"/>
                <w:color w:val="auto"/>
                <w:kern w:val="0"/>
                <w:sz w:val="22"/>
                <w:szCs w:val="22"/>
                <w:lang w:val="ru-RU" w:eastAsia="en-US" w:bidi="ar-SA"/>
              </w:rPr>
              <w:t>1</w:t>
            </w:r>
          </w:p>
        </w:tc>
        <w:tc>
          <w:tcPr>
            <w:tcW w:w="1247" w:type="dxa"/>
            <w:tcBorders>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rPr>
            </w:pPr>
            <w:r>
              <w:rPr>
                <w:rFonts w:ascii="Times New Roman" w:hAnsi="Times New Roman"/>
              </w:rPr>
            </w:r>
          </w:p>
        </w:tc>
        <w:tc>
          <w:tcPr>
            <w:tcW w:w="1310" w:type="dxa"/>
            <w:tcBorders>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rPr>
            </w:pPr>
            <w:r>
              <w:rPr>
                <w:rFonts w:ascii="Times New Roman" w:hAnsi="Times New Roman"/>
              </w:rPr>
            </w:r>
          </w:p>
        </w:tc>
      </w:tr>
      <w:tr>
        <w:trPr/>
        <w:tc>
          <w:tcPr>
            <w:tcW w:w="7819"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right"/>
              <w:rPr/>
            </w:pPr>
            <w:r>
              <w:rPr>
                <w:rFonts w:ascii="Times New Roman" w:hAnsi="Times New Roman"/>
                <w:b/>
                <w:bCs/>
              </w:rPr>
              <w:t>ИТОГО:</w:t>
            </w:r>
          </w:p>
        </w:tc>
        <w:tc>
          <w:tcPr>
            <w:tcW w:w="1310"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uto" w:line="240" w:before="0" w:after="0"/>
              <w:ind w:hanging="0"/>
              <w:jc w:val="center"/>
              <w:rPr>
                <w:rFonts w:ascii="Times New Roman" w:hAnsi="Times New Roman"/>
                <w:bCs/>
                <w:sz w:val="24"/>
                <w:szCs w:val="24"/>
              </w:rPr>
            </w:pPr>
            <w:r>
              <w:rPr>
                <w:rFonts w:ascii="Times New Roman" w:hAnsi="Times New Roman"/>
                <w:bCs/>
                <w:sz w:val="24"/>
                <w:szCs w:val="24"/>
              </w:rPr>
            </w:r>
          </w:p>
        </w:tc>
      </w:tr>
    </w:tbl>
    <w:p>
      <w:pPr>
        <w:pStyle w:val="Normal"/>
        <w:widowControl w:val="false"/>
        <w:tabs>
          <w:tab w:val="left" w:pos="653" w:leader="none"/>
          <w:tab w:val="left" w:pos="708" w:leader="none"/>
        </w:tabs>
        <w:spacing w:lineRule="auto" w:line="240" w:before="0" w:after="0"/>
        <w:ind w:firstLine="709"/>
        <w:rPr>
          <w:rFonts w:ascii="Times New Roman" w:hAnsi="Times New Roman"/>
        </w:rPr>
      </w:pPr>
      <w:r>
        <w:rPr>
          <w:rFonts w:ascii="Times New Roman" w:hAnsi="Times New Roman"/>
        </w:rPr>
      </w:r>
    </w:p>
    <w:p>
      <w:pPr>
        <w:pStyle w:val="Normal"/>
        <w:widowControl w:val="false"/>
        <w:tabs>
          <w:tab w:val="left" w:pos="0" w:leader="none"/>
          <w:tab w:val="left" w:pos="708" w:leader="none"/>
        </w:tabs>
        <w:suppressAutoHyphens w:val="true"/>
        <w:bidi w:val="0"/>
        <w:spacing w:lineRule="auto" w:line="240" w:before="0" w:after="0"/>
        <w:ind w:hanging="0" w:left="0" w:right="0"/>
        <w:jc w:val="left"/>
        <w:textAlignment w:val="baseline"/>
        <w:rPr>
          <w:rFonts w:ascii="Times New Roman" w:hAnsi="Times New Roman"/>
        </w:rPr>
      </w:pPr>
      <w:r>
        <w:rPr>
          <w:rFonts w:ascii="Times New Roman" w:hAnsi="Times New Roman"/>
        </w:rPr>
        <w:t xml:space="preserve">Итого: ______________ (____________________) рублей 00 копеек, в том числе НДС __% в сумме _______________(________) рублей__ копеек </w:t>
      </w:r>
      <w:r>
        <w:rPr>
          <w:rFonts w:ascii="Times New Roman" w:hAnsi="Times New Roman"/>
          <w:i/>
        </w:rPr>
        <w:t>(НДС не облагается на основании ______________ Налогового кодекса Российской Федерации и ____________)</w:t>
      </w:r>
      <w:r>
        <w:rPr>
          <w:rFonts w:ascii="Times New Roman" w:hAnsi="Times New Roman"/>
        </w:rPr>
        <w:t>.</w:t>
      </w:r>
    </w:p>
    <w:p>
      <w:pPr>
        <w:pStyle w:val="Normal"/>
        <w:widowControl w:val="false"/>
        <w:tabs>
          <w:tab w:val="left" w:pos="653" w:leader="none"/>
          <w:tab w:val="left" w:pos="708" w:leader="none"/>
        </w:tabs>
        <w:spacing w:lineRule="auto" w:line="240" w:before="0" w:after="0"/>
        <w:ind w:firstLine="709"/>
        <w:rPr>
          <w:rFonts w:ascii="Times New Roman" w:hAnsi="Times New Roman"/>
        </w:rPr>
      </w:pPr>
      <w:r>
        <w:rPr>
          <w:rFonts w:ascii="Times New Roman" w:hAnsi="Times New Roman"/>
        </w:rPr>
      </w:r>
    </w:p>
    <w:p>
      <w:pPr>
        <w:pStyle w:val="Normal"/>
        <w:widowControl w:val="false"/>
        <w:tabs>
          <w:tab w:val="left" w:pos="653" w:leader="none"/>
          <w:tab w:val="left" w:pos="708" w:leader="none"/>
        </w:tabs>
        <w:spacing w:lineRule="auto" w:line="240" w:before="0" w:after="0"/>
        <w:ind w:firstLine="709"/>
        <w:rPr>
          <w:rFonts w:ascii="Times New Roman" w:hAnsi="Times New Roman"/>
        </w:rPr>
      </w:pPr>
      <w:r>
        <w:rPr>
          <w:rFonts w:ascii="Times New Roman" w:hAnsi="Times New Roman"/>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4636"/>
        <w:gridCol w:w="4717"/>
      </w:tblGrid>
      <w:tr>
        <w:trPr/>
        <w:tc>
          <w:tcPr>
            <w:tcW w:w="4636" w:type="dxa"/>
            <w:tcBorders/>
          </w:tcPr>
          <w:p>
            <w:pPr>
              <w:pStyle w:val="ConsPlusNormal1"/>
              <w:ind w:hanging="0"/>
              <w:rPr/>
            </w:pPr>
            <w:r>
              <w:rPr>
                <w:rFonts w:cs="Times New Roman" w:ascii="Times New Roman" w:hAnsi="Times New Roman"/>
                <w:szCs w:val="22"/>
              </w:rPr>
              <w:t>Заказчик</w:t>
            </w:r>
            <w:r>
              <w:rPr>
                <w:rFonts w:cs="Times New Roman" w:ascii="Times New Roman" w:hAnsi="Times New Roman"/>
              </w:rPr>
              <w:t>:</w:t>
            </w:r>
          </w:p>
        </w:tc>
        <w:tc>
          <w:tcPr>
            <w:tcW w:w="4717" w:type="dxa"/>
            <w:tcBorders/>
          </w:tcPr>
          <w:p>
            <w:pPr>
              <w:pStyle w:val="ConsPlusNormal1"/>
              <w:ind w:hanging="0"/>
              <w:rPr/>
            </w:pPr>
            <w:r>
              <w:rPr>
                <w:rFonts w:cs="Times New Roman" w:ascii="Times New Roman" w:hAnsi="Times New Roman"/>
                <w:szCs w:val="22"/>
              </w:rPr>
              <w:t>Исполнитель</w:t>
            </w:r>
            <w:r>
              <w:rPr>
                <w:rFonts w:cs="Times New Roman" w:ascii="Times New Roman" w:hAnsi="Times New Roman"/>
              </w:rPr>
              <w:t>:</w:t>
            </w:r>
          </w:p>
        </w:tc>
      </w:tr>
      <w:tr>
        <w:trPr/>
        <w:tc>
          <w:tcPr>
            <w:tcW w:w="4636" w:type="dxa"/>
            <w:tcBorders/>
          </w:tcPr>
          <w:p>
            <w:pPr>
              <w:pStyle w:val="ConsPlusNormal1"/>
              <w:ind w:hanging="0"/>
              <w:rPr>
                <w:rFonts w:ascii="Times New Roman" w:hAnsi="Times New Roman" w:cs="Times New Roman"/>
              </w:rPr>
            </w:pPr>
            <w:r>
              <w:rPr>
                <w:rFonts w:cs="Times New Roman" w:ascii="Times New Roman" w:hAnsi="Times New Roman"/>
              </w:rPr>
            </w:r>
          </w:p>
          <w:p>
            <w:pPr>
              <w:pStyle w:val="ConsPlusNormal1"/>
              <w:ind w:hanging="0"/>
              <w:rPr/>
            </w:pPr>
            <w:r>
              <w:rPr>
                <w:rFonts w:cs="Times New Roman" w:ascii="Times New Roman" w:hAnsi="Times New Roman"/>
              </w:rPr>
              <w:t>______________________ /А.А.Сухов</w:t>
            </w:r>
          </w:p>
        </w:tc>
        <w:tc>
          <w:tcPr>
            <w:tcW w:w="4717" w:type="dxa"/>
            <w:tcBorders/>
          </w:tcPr>
          <w:p>
            <w:pPr>
              <w:pStyle w:val="Normal"/>
              <w:tabs>
                <w:tab w:val="clear" w:pos="708"/>
                <w:tab w:val="left" w:pos="3250" w:leader="none"/>
              </w:tabs>
              <w:spacing w:lineRule="auto" w:line="240" w:before="0" w:after="0"/>
              <w:ind w:hanging="0"/>
              <w:jc w:val="both"/>
              <w:rPr/>
            </w:pPr>
            <w:r>
              <w:rPr/>
            </w:r>
          </w:p>
          <w:p>
            <w:pPr>
              <w:pStyle w:val="Normal"/>
              <w:tabs>
                <w:tab w:val="clear" w:pos="708"/>
                <w:tab w:val="left" w:pos="3250" w:leader="none"/>
              </w:tabs>
              <w:spacing w:lineRule="auto" w:line="240" w:before="0" w:after="0"/>
              <w:ind w:hanging="0"/>
              <w:jc w:val="both"/>
              <w:rPr/>
            </w:pPr>
            <w:r>
              <w:rPr>
                <w:rFonts w:eastAsia="Calibri" w:cs="Times New Roman" w:ascii="Times New Roman" w:hAnsi="Times New Roman"/>
                <w:color w:val="auto"/>
                <w:kern w:val="0"/>
                <w:sz w:val="22"/>
                <w:szCs w:val="22"/>
                <w:lang w:val="en-AU" w:eastAsia="ru-RU" w:bidi="ar-SA"/>
              </w:rPr>
              <w:t>______________________</w:t>
            </w:r>
            <w:r>
              <w:rPr/>
              <w:t xml:space="preserve"> /</w:t>
            </w:r>
            <w:r>
              <w:rPr>
                <w:rFonts w:eastAsia="Calibri" w:cs="Times New Roman" w:ascii="Times New Roman" w:hAnsi="Times New Roman"/>
                <w:color w:val="auto"/>
                <w:kern w:val="0"/>
                <w:sz w:val="22"/>
                <w:szCs w:val="22"/>
                <w:lang w:val="en-AU" w:eastAsia="ru-RU" w:bidi="ar-SA"/>
              </w:rPr>
              <w:t>___________</w:t>
            </w:r>
          </w:p>
        </w:tc>
      </w:tr>
      <w:tr>
        <w:trPr/>
        <w:tc>
          <w:tcPr>
            <w:tcW w:w="4636" w:type="dxa"/>
            <w:tcBorders/>
          </w:tcPr>
          <w:p>
            <w:pPr>
              <w:pStyle w:val="ConsPlusNormal1"/>
              <w:ind w:hanging="0"/>
              <w:rPr/>
            </w:pPr>
            <w:r>
              <w:rPr>
                <w:rFonts w:cs="Times New Roman" w:ascii="Times New Roman" w:hAnsi="Times New Roman"/>
              </w:rPr>
              <w:t>"____" _____________ 2026 г.</w:t>
            </w:r>
          </w:p>
        </w:tc>
        <w:tc>
          <w:tcPr>
            <w:tcW w:w="4717" w:type="dxa"/>
            <w:tcBorders/>
          </w:tcPr>
          <w:p>
            <w:pPr>
              <w:pStyle w:val="ConsPlusNormal1"/>
              <w:ind w:hanging="0"/>
              <w:rPr/>
            </w:pPr>
            <w:r>
              <w:rPr>
                <w:rFonts w:cs="Times New Roman" w:ascii="Times New Roman" w:hAnsi="Times New Roman"/>
              </w:rPr>
              <w:t>"____" _____________ 2026 г.</w:t>
            </w:r>
          </w:p>
        </w:tc>
      </w:tr>
      <w:tr>
        <w:trPr/>
        <w:tc>
          <w:tcPr>
            <w:tcW w:w="4636" w:type="dxa"/>
            <w:tcBorders/>
          </w:tcPr>
          <w:p>
            <w:pPr>
              <w:pStyle w:val="ConsPlusNormal1"/>
              <w:ind w:hanging="0"/>
              <w:rPr/>
            </w:pPr>
            <w:r>
              <w:rPr>
                <w:rFonts w:cs="Times New Roman" w:ascii="Times New Roman" w:hAnsi="Times New Roman"/>
                <w:lang w:val="ru-RU"/>
              </w:rPr>
              <w:t>М.П.</w:t>
            </w:r>
          </w:p>
        </w:tc>
        <w:tc>
          <w:tcPr>
            <w:tcW w:w="4717" w:type="dxa"/>
            <w:tcBorders/>
          </w:tcPr>
          <w:p>
            <w:pPr>
              <w:pStyle w:val="ConsPlusNormal1"/>
              <w:ind w:hanging="0"/>
              <w:rPr/>
            </w:pPr>
            <w:r>
              <w:rPr>
                <w:rFonts w:cs="Times New Roman" w:ascii="Times New Roman" w:hAnsi="Times New Roman"/>
                <w:lang w:val="ru-RU"/>
              </w:rPr>
              <w:t>М.П. (при наличии печати)</w:t>
            </w:r>
          </w:p>
        </w:tc>
      </w:tr>
    </w:tbl>
    <w:p>
      <w:pPr>
        <w:sectPr>
          <w:footerReference w:type="even" r:id="rId5"/>
          <w:footerReference w:type="default" r:id="rId6"/>
          <w:footerReference w:type="first" r:id="rId7"/>
          <w:type w:val="nextPage"/>
          <w:pgSz w:w="11906" w:h="16838"/>
          <w:pgMar w:left="1701" w:right="851" w:gutter="0" w:header="0" w:top="1134" w:footer="164" w:bottom="1134"/>
          <w:pgNumType w:start="1" w:fmt="decimal"/>
          <w:formProt w:val="false"/>
          <w:textDirection w:val="lrTb"/>
          <w:docGrid w:type="default" w:linePitch="299" w:charSpace="0"/>
        </w:sectPr>
      </w:pPr>
      <w:r>
        <w:br w:type="page"/>
      </w:r>
    </w:p>
    <w:p>
      <w:pPr>
        <w:pStyle w:val="Normal"/>
        <w:spacing w:lineRule="auto" w:line="240" w:before="0" w:after="0"/>
        <w:ind w:firstLine="709"/>
        <w:jc w:val="right"/>
        <w:rPr>
          <w:rFonts w:ascii="Times New Roman" w:hAnsi="Times New Roman"/>
        </w:rPr>
      </w:pPr>
      <w:r>
        <w:rPr>
          <w:rFonts w:ascii="Times New Roman" w:hAnsi="Times New Roman"/>
        </w:rPr>
        <w:t>Приложение № 2</w:t>
      </w:r>
    </w:p>
    <w:p>
      <w:pPr>
        <w:pStyle w:val="Normal"/>
        <w:spacing w:lineRule="auto" w:line="240" w:before="0" w:after="0"/>
        <w:ind w:firstLine="709"/>
        <w:jc w:val="right"/>
        <w:rPr>
          <w:rFonts w:ascii="Times New Roman" w:hAnsi="Times New Roman"/>
        </w:rPr>
      </w:pPr>
      <w:r>
        <w:rPr>
          <w:rFonts w:ascii="Times New Roman" w:hAnsi="Times New Roman"/>
        </w:rPr>
        <w:t>к Контракту  № ____________</w:t>
      </w:r>
    </w:p>
    <w:p>
      <w:pPr>
        <w:pStyle w:val="Normal"/>
        <w:spacing w:lineRule="auto" w:line="240" w:before="0" w:after="0"/>
        <w:ind w:firstLine="709"/>
        <w:jc w:val="right"/>
        <w:rPr>
          <w:rFonts w:ascii="Times New Roman" w:hAnsi="Times New Roman"/>
        </w:rPr>
      </w:pPr>
      <w:r>
        <w:rPr>
          <w:rFonts w:ascii="Times New Roman" w:hAnsi="Times New Roman"/>
        </w:rPr>
        <w:t xml:space="preserve"> </w:t>
      </w:r>
      <w:r>
        <w:rPr>
          <w:rFonts w:ascii="Times New Roman" w:hAnsi="Times New Roman"/>
        </w:rPr>
        <w:t>от "___" _________2026 г.</w:t>
      </w:r>
    </w:p>
    <w:p>
      <w:pPr>
        <w:pStyle w:val="Normal"/>
        <w:spacing w:lineRule="auto" w:line="240" w:before="0" w:after="0"/>
        <w:ind w:firstLine="709"/>
        <w:jc w:val="right"/>
        <w:rPr>
          <w:rFonts w:ascii="Times New Roman" w:hAnsi="Times New Roman"/>
        </w:rPr>
      </w:pPr>
      <w:r>
        <w:rPr>
          <w:rFonts w:ascii="Times New Roman" w:hAnsi="Times New Roman"/>
        </w:rPr>
      </w:r>
    </w:p>
    <w:p>
      <w:pPr>
        <w:pStyle w:val="Normal"/>
        <w:widowControl w:val="false"/>
        <w:spacing w:lineRule="auto" w:line="240" w:before="0" w:after="0"/>
        <w:jc w:val="right"/>
        <w:rPr>
          <w:b w:val="false"/>
          <w:bCs w:val="false"/>
        </w:rPr>
      </w:pPr>
      <w:r>
        <w:rPr>
          <w:rFonts w:cs="Times New Roman" w:ascii="Times New Roman" w:hAnsi="Times New Roman"/>
          <w:b w:val="false"/>
          <w:bCs w:val="false"/>
          <w:sz w:val="22"/>
        </w:rPr>
        <w:t>Приложение 1</w:t>
      </w:r>
    </w:p>
    <w:p>
      <w:pPr>
        <w:pStyle w:val="Normal"/>
        <w:widowControl w:val="false"/>
        <w:spacing w:lineRule="auto" w:line="240" w:before="0" w:after="0"/>
        <w:jc w:val="center"/>
        <w:rPr>
          <w:rFonts w:ascii="Times New Roman" w:hAnsi="Times New Roman" w:cs="Times New Roman"/>
          <w:b/>
          <w:sz w:val="22"/>
        </w:rPr>
      </w:pPr>
      <w:r>
        <w:rPr>
          <w:rFonts w:cs="Times New Roman" w:ascii="Times New Roman" w:hAnsi="Times New Roman"/>
          <w:b/>
          <w:sz w:val="22"/>
        </w:rPr>
      </w:r>
    </w:p>
    <w:p>
      <w:pPr>
        <w:pStyle w:val="Normal"/>
        <w:widowControl w:val="false"/>
        <w:spacing w:lineRule="auto" w:line="240" w:before="0" w:after="0"/>
        <w:jc w:val="center"/>
        <w:rPr>
          <w:rFonts w:ascii="Times New Roman" w:hAnsi="Times New Roman" w:cs="Times New Roman"/>
          <w:b/>
          <w:sz w:val="22"/>
        </w:rPr>
      </w:pPr>
      <w:r>
        <w:rPr>
          <w:rFonts w:cs="Times New Roman" w:ascii="Times New Roman" w:hAnsi="Times New Roman"/>
          <w:b/>
          <w:sz w:val="22"/>
        </w:rPr>
        <w:t>Описание объекта закупки</w:t>
      </w:r>
      <w:bookmarkStart w:id="6" w:name="_Toc8215314"/>
    </w:p>
    <w:p>
      <w:pPr>
        <w:pStyle w:val="Normal"/>
        <w:spacing w:lineRule="auto" w:line="240" w:before="0" w:after="0"/>
        <w:ind w:firstLine="708"/>
        <w:jc w:val="both"/>
        <w:rPr>
          <w:rFonts w:ascii="Times New Roman" w:hAnsi="Times New Roman" w:cs="Times New Roman"/>
          <w:b/>
          <w:bCs/>
          <w:sz w:val="22"/>
        </w:rPr>
      </w:pPr>
      <w:bookmarkStart w:id="7" w:name="_Hlk106259426"/>
      <w:r>
        <w:rPr>
          <w:rFonts w:cs="Times New Roman" w:ascii="Times New Roman" w:hAnsi="Times New Roman"/>
          <w:sz w:val="22"/>
        </w:rPr>
        <w:t xml:space="preserve">Наименование объекта закупки: </w:t>
      </w:r>
      <w:bookmarkEnd w:id="7"/>
      <w:r>
        <w:rPr>
          <w:rFonts w:cs="Times New Roman" w:ascii="Times New Roman" w:hAnsi="Times New Roman"/>
          <w:b/>
          <w:bCs/>
          <w:sz w:val="22"/>
        </w:rPr>
        <w:t>Оказание услуг по передаче лицензии на использование программного обеспечения антивирусной защиты</w:t>
      </w:r>
      <w:r>
        <w:rPr>
          <w:rStyle w:val="highlightcolor"/>
          <w:rFonts w:cs="Times New Roman" w:ascii="Times New Roman" w:hAnsi="Times New Roman"/>
          <w:b/>
          <w:bCs/>
          <w:sz w:val="22"/>
        </w:rPr>
        <w:t xml:space="preserve"> Kaspersky</w:t>
      </w:r>
      <w:r>
        <w:rPr>
          <w:rFonts w:cs="Times New Roman" w:ascii="Times New Roman" w:hAnsi="Times New Roman"/>
          <w:b/>
          <w:bCs/>
          <w:sz w:val="22"/>
        </w:rPr>
        <w:t xml:space="preserve"> Endpoint Security для бизнеса – Стандартный.</w:t>
      </w:r>
    </w:p>
    <w:p>
      <w:pPr>
        <w:pStyle w:val="Normal"/>
        <w:spacing w:lineRule="auto" w:line="240" w:before="0" w:after="0"/>
        <w:ind w:firstLine="708"/>
        <w:jc w:val="center"/>
        <w:rPr>
          <w:rFonts w:ascii="Times New Roman" w:hAnsi="Times New Roman" w:cs="Times New Roman"/>
          <w:b/>
          <w:sz w:val="22"/>
        </w:rPr>
      </w:pPr>
      <w:r>
        <w:rPr>
          <w:rFonts w:cs="Times New Roman" w:ascii="Times New Roman" w:hAnsi="Times New Roman"/>
          <w:b/>
          <w:sz w:val="22"/>
        </w:rPr>
        <w:t>Требуемый продукт:</w:t>
      </w:r>
    </w:p>
    <w:p>
      <w:pPr>
        <w:pStyle w:val="Normal"/>
        <w:spacing w:lineRule="auto" w:line="240" w:before="0" w:after="0"/>
        <w:ind w:firstLine="708"/>
        <w:jc w:val="center"/>
        <w:rPr>
          <w:rFonts w:ascii="Times New Roman" w:hAnsi="Times New Roman" w:cs="Times New Roman"/>
          <w:b/>
          <w:sz w:val="22"/>
        </w:rPr>
      </w:pPr>
      <w:r>
        <w:rPr>
          <w:rFonts w:cs="Times New Roman" w:ascii="Times New Roman" w:hAnsi="Times New Roman"/>
          <w:b/>
          <w:sz w:val="22"/>
        </w:rPr>
      </w:r>
    </w:p>
    <w:tbl>
      <w:tblPr>
        <w:tblW w:w="14913" w:type="dxa"/>
        <w:jc w:val="left"/>
        <w:tblInd w:w="267" w:type="dxa"/>
        <w:tblLayout w:type="fixed"/>
        <w:tblCellMar>
          <w:top w:w="0" w:type="dxa"/>
          <w:left w:w="108" w:type="dxa"/>
          <w:bottom w:w="0" w:type="dxa"/>
          <w:right w:w="108" w:type="dxa"/>
        </w:tblCellMar>
        <w:tblLook w:val="04a0" w:noHBand="0" w:noVBand="1" w:firstColumn="1" w:lastRow="0" w:lastColumn="0" w:firstRow="1"/>
      </w:tblPr>
      <w:tblGrid>
        <w:gridCol w:w="2323"/>
        <w:gridCol w:w="1639"/>
        <w:gridCol w:w="3142"/>
        <w:gridCol w:w="2720"/>
        <w:gridCol w:w="3065"/>
        <w:gridCol w:w="1173"/>
        <w:gridCol w:w="850"/>
      </w:tblGrid>
      <w:tr>
        <w:trPr>
          <w:trHeight w:val="540" w:hRule="atLeast"/>
        </w:trPr>
        <w:tc>
          <w:tcPr>
            <w:tcW w:w="23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Наименование объекта закупки</w:t>
            </w:r>
          </w:p>
        </w:tc>
        <w:tc>
          <w:tcPr>
            <w:tcW w:w="163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bCs/>
                <w:color w:val="000000"/>
                <w:sz w:val="22"/>
                <w:szCs w:val="22"/>
              </w:rPr>
              <w:t>Код ОКПД 2 / код позиции КТРУ</w:t>
            </w:r>
          </w:p>
        </w:tc>
        <w:tc>
          <w:tcPr>
            <w:tcW w:w="5862"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Характеристики услуги</w:t>
            </w:r>
          </w:p>
        </w:tc>
        <w:tc>
          <w:tcPr>
            <w:tcW w:w="3065" w:type="dxa"/>
            <w:vMerge w:val="restart"/>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sz w:val="22"/>
                <w:szCs w:val="22"/>
              </w:rPr>
            </w:pPr>
            <w:r>
              <w:rPr>
                <w:rFonts w:ascii="Times New Roman" w:hAnsi="Times New Roman"/>
                <w:b/>
                <w:sz w:val="22"/>
                <w:szCs w:val="22"/>
              </w:rPr>
              <w:t>Обоснование необходимости использования функциональных, технических и качественных характеристик товара, которые не предусмотрены в позиции КТРУ</w:t>
            </w:r>
          </w:p>
        </w:tc>
        <w:tc>
          <w:tcPr>
            <w:tcW w:w="117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Кол-во (объем услуги)</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Ед. изм.</w:t>
            </w:r>
          </w:p>
        </w:tc>
      </w:tr>
      <w:tr>
        <w:trPr>
          <w:trHeight w:val="1271" w:hRule="atLeast"/>
        </w:trPr>
        <w:tc>
          <w:tcPr>
            <w:tcW w:w="23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sz w:val="22"/>
                <w:szCs w:val="22"/>
                <w:highlight w:val="yellow"/>
              </w:rPr>
            </w:pPr>
            <w:r>
              <w:rPr>
                <w:rFonts w:ascii="Times New Roman" w:hAnsi="Times New Roman"/>
                <w:b/>
                <w:sz w:val="22"/>
                <w:szCs w:val="22"/>
                <w:highlight w:val="yellow"/>
              </w:rPr>
            </w:r>
          </w:p>
        </w:tc>
        <w:tc>
          <w:tcPr>
            <w:tcW w:w="16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b/>
                <w:bCs/>
                <w:color w:val="000000"/>
                <w:sz w:val="22"/>
                <w:szCs w:val="22"/>
                <w:highlight w:val="yellow"/>
              </w:rPr>
            </w:pPr>
            <w:r>
              <w:rPr>
                <w:rFonts w:ascii="Times New Roman" w:hAnsi="Times New Roman"/>
                <w:b/>
                <w:bCs/>
                <w:color w:val="000000"/>
                <w:sz w:val="22"/>
                <w:szCs w:val="22"/>
                <w:highlight w:val="yellow"/>
              </w:rPr>
            </w:r>
          </w:p>
        </w:tc>
        <w:tc>
          <w:tcPr>
            <w:tcW w:w="314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Наименование характеристики</w:t>
            </w:r>
          </w:p>
        </w:tc>
        <w:tc>
          <w:tcPr>
            <w:tcW w:w="272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b/>
                <w:sz w:val="22"/>
                <w:szCs w:val="22"/>
              </w:rPr>
              <w:t>Значение характеристики</w:t>
            </w:r>
          </w:p>
        </w:tc>
        <w:tc>
          <w:tcPr>
            <w:tcW w:w="3065"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sz w:val="22"/>
                <w:szCs w:val="22"/>
                <w:highlight w:val="yellow"/>
              </w:rPr>
            </w:pPr>
            <w:r>
              <w:rPr>
                <w:rFonts w:ascii="Times New Roman" w:hAnsi="Times New Roman"/>
                <w:sz w:val="22"/>
                <w:szCs w:val="22"/>
                <w:highlight w:val="yellow"/>
              </w:rPr>
            </w:r>
          </w:p>
        </w:tc>
        <w:tc>
          <w:tcPr>
            <w:tcW w:w="1173"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sz w:val="22"/>
                <w:szCs w:val="22"/>
                <w:highlight w:val="yellow"/>
              </w:rPr>
            </w:pPr>
            <w:r>
              <w:rPr>
                <w:rFonts w:ascii="Times New Roman" w:hAnsi="Times New Roman"/>
                <w:sz w:val="22"/>
                <w:szCs w:val="22"/>
                <w:highlight w:val="yellow"/>
              </w:rPr>
            </w:r>
          </w:p>
        </w:tc>
        <w:tc>
          <w:tcPr>
            <w:tcW w:w="850" w:type="dxa"/>
            <w:vMerge w:val="continue"/>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sz w:val="22"/>
                <w:szCs w:val="22"/>
                <w:highlight w:val="yellow"/>
              </w:rPr>
            </w:pPr>
            <w:r>
              <w:rPr>
                <w:rFonts w:ascii="Times New Roman" w:hAnsi="Times New Roman"/>
                <w:sz w:val="22"/>
                <w:szCs w:val="22"/>
                <w:highlight w:val="yellow"/>
              </w:rPr>
            </w:r>
          </w:p>
        </w:tc>
      </w:tr>
      <w:tr>
        <w:trPr>
          <w:trHeight w:val="70" w:hRule="atLeast"/>
        </w:trPr>
        <w:tc>
          <w:tcPr>
            <w:tcW w:w="23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spacing w:before="0" w:after="0"/>
              <w:jc w:val="center"/>
              <w:rPr>
                <w:rFonts w:ascii="Times New Roman" w:hAnsi="Times New Roman" w:cs="Times New Roman"/>
                <w:sz w:val="22"/>
                <w:lang w:val="ru-RU"/>
              </w:rPr>
            </w:pPr>
            <w:r>
              <w:rPr>
                <w:rFonts w:eastAsia="Calibri" w:cs="Times New Roman" w:ascii="Times New Roman" w:hAnsi="Times New Roman"/>
                <w:kern w:val="0"/>
                <w:sz w:val="22"/>
                <w:szCs w:val="22"/>
                <w:lang w:val="ru-RU" w:eastAsia="en-US" w:bidi="ar-SA"/>
              </w:rPr>
              <w:t>Антивирусное программное обеспечение</w:t>
            </w:r>
          </w:p>
          <w:p>
            <w:pPr>
              <w:pStyle w:val="Normal"/>
              <w:widowControl/>
              <w:suppressAutoHyphens w:val="true"/>
              <w:spacing w:before="0" w:after="0"/>
              <w:jc w:val="center"/>
              <w:rPr>
                <w:rFonts w:ascii="Times New Roman" w:hAnsi="Times New Roman" w:cs="Times New Roman"/>
                <w:sz w:val="22"/>
              </w:rPr>
            </w:pPr>
            <w:bookmarkStart w:id="8" w:name="_Hlk225931588_Копия_1"/>
            <w:r>
              <w:rPr>
                <w:rFonts w:eastAsia="Calibri" w:cs="Times New Roman" w:ascii="Times New Roman" w:hAnsi="Times New Roman"/>
                <w:kern w:val="0"/>
                <w:sz w:val="22"/>
                <w:szCs w:val="22"/>
                <w:lang w:val="en-US" w:eastAsia="en-US" w:bidi="ar-SA"/>
              </w:rPr>
              <w:t xml:space="preserve">Kaspersky Endpoint Security </w:t>
            </w:r>
            <w:bookmarkEnd w:id="8"/>
            <w:r>
              <w:rPr>
                <w:rFonts w:eastAsia="Calibri" w:cs="Times New Roman" w:ascii="Times New Roman" w:hAnsi="Times New Roman"/>
                <w:kern w:val="0"/>
                <w:sz w:val="22"/>
                <w:szCs w:val="22"/>
                <w:lang w:val="en-US" w:eastAsia="en-US" w:bidi="ar-SA"/>
              </w:rPr>
              <w:t>для бизнеса – Стандартный - 50-99 Node 1 year Base License</w:t>
            </w:r>
          </w:p>
        </w:tc>
        <w:tc>
          <w:tcPr>
            <w:tcW w:w="163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pPr>
            <w:r>
              <w:rPr>
                <w:rFonts w:ascii="Times New Roman" w:hAnsi="Times New Roman"/>
                <w:sz w:val="22"/>
                <w:szCs w:val="22"/>
              </w:rPr>
              <w:t xml:space="preserve"> </w:t>
            </w:r>
            <w:r>
              <w:rPr>
                <w:rFonts w:ascii="Times New Roman" w:hAnsi="Times New Roman"/>
                <w:sz w:val="22"/>
                <w:szCs w:val="22"/>
              </w:rPr>
              <w:t xml:space="preserve">58.29.50.000/ </w:t>
            </w:r>
            <w:hyperlink r:id="rId8" w:tgtFrame="_blank">
              <w:r>
                <w:rPr>
                  <w:rStyle w:val="Style"/>
                  <w:rFonts w:ascii="Times New Roman" w:hAnsi="Times New Roman"/>
                  <w:sz w:val="22"/>
                  <w:szCs w:val="22"/>
                </w:rPr>
                <w:t>58.29.11.000-00000003</w:t>
              </w:r>
            </w:hyperlink>
          </w:p>
        </w:tc>
        <w:tc>
          <w:tcPr>
            <w:tcW w:w="314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sz w:val="22"/>
                <w:szCs w:val="22"/>
              </w:rPr>
            </w:pPr>
            <w:r>
              <w:rPr>
                <w:rFonts w:ascii="Times New Roman" w:hAnsi="Times New Roman"/>
                <w:sz w:val="22"/>
                <w:szCs w:val="22"/>
              </w:rPr>
              <w:t>Класс программ для электронных вычислительных машин и баз данных</w:t>
            </w:r>
          </w:p>
        </w:tc>
        <w:tc>
          <w:tcPr>
            <w:tcW w:w="2720"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jc w:val="center"/>
              <w:rPr>
                <w:color w:val="000000"/>
                <w:sz w:val="22"/>
                <w:szCs w:val="22"/>
              </w:rPr>
            </w:pPr>
            <w:r>
              <w:rPr>
                <w:rFonts w:ascii="Times New Roman" w:hAnsi="Times New Roman"/>
                <w:color w:val="000000"/>
                <w:sz w:val="22"/>
                <w:szCs w:val="22"/>
              </w:rPr>
              <w:t>(03.06) Средства антивирусной защиты</w:t>
            </w:r>
          </w:p>
        </w:tc>
        <w:tc>
          <w:tcPr>
            <w:tcW w:w="306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В соответствии с КТРУ</w:t>
            </w:r>
          </w:p>
        </w:tc>
        <w:tc>
          <w:tcPr>
            <w:tcW w:w="117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95</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штука</w:t>
            </w:r>
          </w:p>
        </w:tc>
      </w:tr>
      <w:tr>
        <w:trPr>
          <w:trHeight w:val="70" w:hRule="atLeast"/>
        </w:trPr>
        <w:tc>
          <w:tcPr>
            <w:tcW w:w="23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16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Times New Roman" w:hAnsi="Times New Roman"/>
                <w:sz w:val="22"/>
                <w:szCs w:val="22"/>
              </w:rPr>
            </w:pPr>
            <w:r>
              <w:rPr>
                <w:rFonts w:ascii="Times New Roman" w:hAnsi="Times New Roman"/>
                <w:sz w:val="22"/>
                <w:szCs w:val="22"/>
              </w:rPr>
            </w:r>
          </w:p>
        </w:tc>
        <w:tc>
          <w:tcPr>
            <w:tcW w:w="314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left"/>
              <w:rPr>
                <w:sz w:val="22"/>
                <w:szCs w:val="22"/>
              </w:rPr>
            </w:pPr>
            <w:r>
              <w:rPr>
                <w:rFonts w:ascii="Times New Roman" w:hAnsi="Times New Roman"/>
                <w:sz w:val="22"/>
                <w:szCs w:val="22"/>
              </w:rPr>
              <w:t>Способ предоставления</w:t>
            </w:r>
          </w:p>
        </w:tc>
        <w:tc>
          <w:tcPr>
            <w:tcW w:w="272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Экземпляр на материальном носителе</w:t>
            </w:r>
          </w:p>
        </w:tc>
        <w:tc>
          <w:tcPr>
            <w:tcW w:w="306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В соответствии с КТРУ</w:t>
            </w:r>
          </w:p>
        </w:tc>
        <w:tc>
          <w:tcPr>
            <w:tcW w:w="11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r>
      <w:tr>
        <w:trPr>
          <w:trHeight w:val="1610" w:hRule="atLeast"/>
        </w:trPr>
        <w:tc>
          <w:tcPr>
            <w:tcW w:w="2323" w:type="dxa"/>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spacing w:before="0" w:after="0"/>
              <w:jc w:val="center"/>
              <w:rPr>
                <w:rFonts w:ascii="Times New Roman" w:hAnsi="Times New Roman" w:cs="Times New Roman"/>
                <w:sz w:val="22"/>
              </w:rPr>
            </w:pPr>
            <w:r>
              <w:rPr>
                <w:rFonts w:eastAsia="Calibri" w:cs="Times New Roman" w:ascii="Times New Roman" w:hAnsi="Times New Roman"/>
                <w:kern w:val="0"/>
                <w:sz w:val="22"/>
                <w:szCs w:val="22"/>
                <w:lang w:val="en-US" w:eastAsia="en-US" w:bidi="ar-SA"/>
              </w:rPr>
              <w:t>Kaspersky Стандартный Certified Media Pack Band Z: 1</w:t>
            </w:r>
          </w:p>
          <w:p>
            <w:pPr>
              <w:pStyle w:val="Normal"/>
              <w:widowControl/>
              <w:suppressAutoHyphens w:val="true"/>
              <w:spacing w:before="0" w:after="0"/>
              <w:jc w:val="center"/>
              <w:rPr>
                <w:rFonts w:ascii="Times New Roman" w:hAnsi="Times New Roman" w:cs="Times New Roman"/>
                <w:sz w:val="22"/>
              </w:rPr>
            </w:pPr>
            <w:r>
              <w:rPr>
                <w:rFonts w:eastAsia="Calibri" w:cs="Times New Roman" w:ascii="Times New Roman" w:hAnsi="Times New Roman"/>
                <w:kern w:val="0"/>
                <w:sz w:val="22"/>
                <w:szCs w:val="22"/>
                <w:lang w:val="en-US" w:eastAsia="en-US" w:bidi="ar-SA"/>
              </w:rPr>
              <w:t>Media Pack</w:t>
            </w:r>
          </w:p>
        </w:tc>
        <w:tc>
          <w:tcPr>
            <w:tcW w:w="163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pPr>
            <w:r>
              <w:rPr>
                <w:rFonts w:ascii="Times New Roman" w:hAnsi="Times New Roman"/>
                <w:sz w:val="22"/>
                <w:szCs w:val="22"/>
              </w:rPr>
              <w:t>58.29.50.000</w:t>
            </w:r>
          </w:p>
        </w:tc>
        <w:tc>
          <w:tcPr>
            <w:tcW w:w="314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left"/>
              <w:rPr>
                <w:sz w:val="22"/>
                <w:szCs w:val="22"/>
              </w:rPr>
            </w:pPr>
            <w:r>
              <w:rPr>
                <w:rFonts w:ascii="Times New Roman" w:hAnsi="Times New Roman"/>
                <w:sz w:val="22"/>
                <w:szCs w:val="22"/>
              </w:rPr>
              <w:t>Комплект эксплуатационной документации с описанием системы, руководством пользователя, формуляр, копия сертификата ФСТЭК России, дистрибутив ПО на оптическом диске</w:t>
            </w:r>
          </w:p>
        </w:tc>
        <w:tc>
          <w:tcPr>
            <w:tcW w:w="272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sz w:val="22"/>
                <w:szCs w:val="22"/>
              </w:rPr>
            </w:pPr>
            <w:r>
              <w:rPr>
                <w:rFonts w:ascii="Times New Roman" w:hAnsi="Times New Roman"/>
                <w:sz w:val="22"/>
                <w:szCs w:val="22"/>
              </w:rPr>
              <w:t>Наличие</w:t>
            </w:r>
          </w:p>
        </w:tc>
        <w:tc>
          <w:tcPr>
            <w:tcW w:w="306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sz w:val="22"/>
                <w:szCs w:val="22"/>
              </w:rPr>
            </w:pPr>
            <w:r>
              <w:rPr>
                <w:rFonts w:ascii="Times New Roman" w:hAnsi="Times New Roman"/>
                <w:sz w:val="22"/>
                <w:szCs w:val="22"/>
              </w:rPr>
            </w:r>
          </w:p>
        </w:tc>
        <w:tc>
          <w:tcPr>
            <w:tcW w:w="117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1</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sz w:val="22"/>
                <w:szCs w:val="22"/>
              </w:rPr>
            </w:pPr>
            <w:r>
              <w:rPr>
                <w:rFonts w:ascii="Times New Roman" w:hAnsi="Times New Roman"/>
                <w:sz w:val="22"/>
                <w:szCs w:val="22"/>
              </w:rPr>
              <w:t>штука</w:t>
            </w:r>
          </w:p>
        </w:tc>
      </w:tr>
    </w:tbl>
    <w:p>
      <w:pPr>
        <w:pStyle w:val="Normal"/>
        <w:spacing w:lineRule="auto" w:line="240" w:before="0" w:after="0"/>
        <w:ind w:firstLine="708"/>
        <w:jc w:val="center"/>
        <w:rPr>
          <w:rFonts w:ascii="Times New Roman" w:hAnsi="Times New Roman" w:cs="Times New Roman"/>
          <w:b/>
          <w:sz w:val="22"/>
        </w:rPr>
      </w:pPr>
      <w:r>
        <w:rPr>
          <w:rFonts w:cs="Times New Roman" w:ascii="Times New Roman" w:hAnsi="Times New Roman"/>
          <w:b/>
          <w:sz w:val="22"/>
        </w:rPr>
      </w:r>
    </w:p>
    <w:p>
      <w:pPr>
        <w:pStyle w:val="Normal"/>
        <w:widowControl w:val="false"/>
        <w:spacing w:lineRule="auto" w:line="240" w:before="0" w:after="0"/>
        <w:ind w:left="709"/>
        <w:jc w:val="both"/>
        <w:rPr>
          <w:rFonts w:ascii="Times New Roman" w:hAnsi="Times New Roman" w:cs="Times New Roman"/>
          <w:b/>
          <w:sz w:val="22"/>
        </w:rPr>
      </w:pPr>
      <w:r>
        <w:rPr>
          <w:rFonts w:cs="Times New Roman" w:ascii="Times New Roman" w:hAnsi="Times New Roman"/>
          <w:b/>
          <w:sz w:val="22"/>
        </w:rPr>
        <w:t>Требования к передаваемым неисключительным правам (лицензия) и их количество.</w:t>
      </w:r>
    </w:p>
    <w:p>
      <w:pPr>
        <w:pStyle w:val="Normal"/>
        <w:spacing w:lineRule="auto" w:line="240" w:before="0" w:after="0"/>
        <w:ind w:firstLine="709"/>
        <w:jc w:val="both"/>
        <w:rPr>
          <w:rFonts w:ascii="Times New Roman" w:hAnsi="Times New Roman" w:cs="Times New Roman"/>
          <w:sz w:val="22"/>
        </w:rPr>
      </w:pPr>
      <w:r>
        <w:rPr>
          <w:rFonts w:cs="Times New Roman" w:ascii="Times New Roman" w:hAnsi="Times New Roman"/>
          <w:sz w:val="22"/>
        </w:rPr>
        <w:t>Неисключительные права на использование программного обеспечения включают:</w:t>
      </w:r>
    </w:p>
    <w:p>
      <w:pPr>
        <w:pStyle w:val="Normal"/>
        <w:widowControl w:val="false"/>
        <w:shd w:val="clear" w:color="auto" w:fill="FFFFFF"/>
        <w:spacing w:lineRule="auto" w:line="240" w:before="0" w:after="0"/>
        <w:ind w:firstLine="567"/>
        <w:jc w:val="both"/>
        <w:rPr>
          <w:rFonts w:ascii="Times New Roman" w:hAnsi="Times New Roman" w:cs="Times New Roman"/>
          <w:color w:themeColor="text1" w:val="000000"/>
          <w:sz w:val="22"/>
        </w:rPr>
      </w:pPr>
      <w:r>
        <w:rPr>
          <w:rFonts w:cs="Times New Roman" w:ascii="Times New Roman" w:hAnsi="Times New Roman"/>
          <w:sz w:val="22"/>
        </w:rPr>
        <w:t>- Простая (неисключительная) лицензия на право использования программного обеспечения на 95 рабочих мест, включая защиту и серверов, и рабочих станций сроком действия не менее чем на 12 месяцев</w:t>
      </w:r>
      <w:r>
        <w:rPr>
          <w:rFonts w:eastAsia="Times New Roman" w:cs="Times New Roman" w:ascii="Times New Roman" w:hAnsi="Times New Roman"/>
          <w:sz w:val="22"/>
          <w:lang w:eastAsia="ar-SA"/>
        </w:rPr>
        <w:t xml:space="preserve"> </w:t>
      </w:r>
      <w:r>
        <w:rPr>
          <w:rFonts w:cs="Times New Roman" w:ascii="Times New Roman" w:hAnsi="Times New Roman"/>
          <w:color w:themeColor="text1" w:val="000000"/>
          <w:sz w:val="22"/>
          <w:lang w:val="en-US"/>
        </w:rPr>
        <w:t>c</w:t>
      </w:r>
      <w:r>
        <w:rPr>
          <w:rFonts w:cs="Times New Roman" w:ascii="Times New Roman" w:hAnsi="Times New Roman"/>
          <w:color w:themeColor="text1" w:val="000000"/>
          <w:sz w:val="22"/>
        </w:rPr>
        <w:t xml:space="preserve"> даты предоставления;</w:t>
      </w:r>
    </w:p>
    <w:p>
      <w:pPr>
        <w:pStyle w:val="Normal"/>
        <w:keepNext w:val="true"/>
        <w:spacing w:lineRule="auto" w:line="240" w:before="0" w:after="0"/>
        <w:ind w:firstLine="709"/>
        <w:jc w:val="both"/>
        <w:rPr>
          <w:rFonts w:ascii="Times New Roman" w:hAnsi="Times New Roman" w:cs="Times New Roman"/>
          <w:sz w:val="22"/>
        </w:rPr>
      </w:pPr>
      <w:r>
        <w:rPr>
          <w:rFonts w:cs="Times New Roman" w:ascii="Times New Roman" w:hAnsi="Times New Roman"/>
          <w:sz w:val="22"/>
        </w:rPr>
        <w:t>- Код для активации лицензии.</w:t>
      </w:r>
    </w:p>
    <w:p>
      <w:pPr>
        <w:pStyle w:val="Normal"/>
        <w:spacing w:lineRule="auto" w:line="240" w:before="0" w:after="0"/>
        <w:ind w:firstLine="709"/>
        <w:jc w:val="both"/>
        <w:rPr>
          <w:highlight w:val="none"/>
          <w:shd w:fill="auto" w:val="clear"/>
        </w:rPr>
      </w:pPr>
      <w:r>
        <w:rPr>
          <w:rFonts w:cs="Times New Roman" w:ascii="Times New Roman" w:hAnsi="Times New Roman"/>
          <w:spacing w:val="-4"/>
          <w:sz w:val="22"/>
          <w:shd w:fill="auto" w:val="clear"/>
        </w:rPr>
        <w:t>Передача права на эквивалентные программные продукты не допустима, так как Заказчика является сегментом сети управления и передачи данных Волгоградской области, использует ресурсы СУиПД и подпадает под ее ограничения, в частности антивирусная защита построена на базе Kaspersky Endpoint Security Center, по этому иные программные средства не обеспечат совместимости с уже эксплуатируемым Заказчиком программным обеспечением.</w:t>
      </w:r>
    </w:p>
    <w:p>
      <w:pPr>
        <w:pStyle w:val="Normal"/>
        <w:spacing w:lineRule="auto" w:line="240" w:before="0" w:after="0"/>
        <w:ind w:firstLine="709"/>
        <w:jc w:val="both"/>
        <w:rPr>
          <w:highlight w:val="none"/>
          <w:shd w:fill="auto" w:val="clear"/>
        </w:rPr>
      </w:pPr>
      <w:r>
        <w:rPr>
          <w:rFonts w:cs="Times New Roman" w:ascii="Times New Roman" w:hAnsi="Times New Roman"/>
          <w:spacing w:val="-4"/>
          <w:sz w:val="22"/>
          <w:shd w:fill="auto" w:val="clear"/>
        </w:rPr>
        <w:t>Внедрение ПО других производителей означает необходимость переустановки, внедрения и настройки ПО на всех рабочих станциях и серверах организации. Выполнение этих работ повлечет дополнительные финансовые расходы (привлечение персонала, обучение собственного персонала), а также займет значительное время, что неизбежно отразится на качестве и оперативности работы сотрудников организации. Таким образом, внедрение ПО других производителей, является нецелесообразным.</w:t>
      </w:r>
    </w:p>
    <w:p>
      <w:pPr>
        <w:pStyle w:val="Normal"/>
        <w:spacing w:lineRule="auto" w:line="240" w:before="0" w:after="0"/>
        <w:ind w:firstLine="709"/>
        <w:jc w:val="both"/>
        <w:rPr>
          <w:highlight w:val="none"/>
          <w:shd w:fill="auto" w:val="clear"/>
        </w:rPr>
      </w:pPr>
      <w:bookmarkEnd w:id="6"/>
      <w:r>
        <w:rPr>
          <w:rFonts w:cs="Times New Roman" w:ascii="Times New Roman" w:hAnsi="Times New Roman"/>
          <w:spacing w:val="-4"/>
          <w:sz w:val="22"/>
          <w:shd w:fill="auto" w:val="clear"/>
        </w:rPr>
        <w:t>К</w:t>
      </w:r>
      <w:r>
        <w:rPr>
          <w:rFonts w:cs="Times New Roman" w:ascii="Times New Roman" w:hAnsi="Times New Roman"/>
          <w:sz w:val="22"/>
          <w:shd w:fill="auto" w:val="clear"/>
        </w:rPr>
        <w:t>оличество серверов и рабочих станций/мобильных устройств в отдельности не указано потому, что требуется продукт, защищающий и сервера, и рабочие станции вне зависимости от соотношения тех и других. Лицензия должна обеспечивать возможность изменения соотношения защищаемых серверов/рабочих станций/мобильных устройств в течение срока действия лицензионного соглашения в рамках приобретенного числа лицензий 95 шт.).</w:t>
      </w:r>
      <w:r>
        <w:rPr>
          <w:rFonts w:cs="Times New Roman" w:ascii="Times New Roman" w:hAnsi="Times New Roman"/>
          <w:color w:val="FF0000"/>
          <w:sz w:val="22"/>
          <w:shd w:fill="auto" w:val="clear"/>
        </w:rPr>
        <w:t xml:space="preserve"> </w:t>
      </w:r>
      <w:r>
        <w:rPr>
          <w:rFonts w:cs="Times New Roman" w:ascii="Times New Roman" w:hAnsi="Times New Roman"/>
          <w:sz w:val="22"/>
          <w:shd w:fill="auto" w:val="clear"/>
        </w:rPr>
        <w:t>Это требование обусловлено возможностью структурных изменений в течение срока действия Лицензии.</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9" w:name="_Toc35803027"/>
      <w:bookmarkStart w:id="10" w:name="_Toc213673498"/>
      <w:bookmarkStart w:id="11" w:name="_Toc94121127"/>
      <w:bookmarkEnd w:id="11"/>
      <w:r>
        <w:rPr>
          <w:rFonts w:eastAsia="Calibri" w:cs="Times New Roman" w:eastAsiaTheme="minorHAnsi"/>
          <w:color w:val="auto"/>
          <w:sz w:val="22"/>
          <w:szCs w:val="22"/>
        </w:rPr>
        <w:t>Общие требования</w:t>
      </w:r>
      <w:bookmarkEnd w:id="9"/>
      <w:bookmarkEnd w:id="10"/>
    </w:p>
    <w:p>
      <w:pPr>
        <w:pStyle w:val="Normal"/>
        <w:spacing w:lineRule="auto" w:line="240"/>
        <w:jc w:val="both"/>
        <w:rPr>
          <w:rFonts w:ascii="Times New Roman" w:hAnsi="Times New Roman" w:cs="Times New Roman"/>
          <w:sz w:val="22"/>
        </w:rPr>
      </w:pPr>
      <w:r>
        <w:rPr>
          <w:rFonts w:cs="Times New Roman" w:ascii="Times New Roman" w:hAnsi="Times New Roman"/>
          <w:sz w:val="22"/>
        </w:rPr>
        <w:t>Антивирусные средства должны включать:</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программные средства антивирусной защиты для рабочих станций Windows;</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программные средства антивирусной защиты для файловых серверов Windows;</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программные средства антивирусной защиты для рабочих станций Mac;</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программные средства антивирусной защиты для рабочих станций и серверов Linux;</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программные средства антивирусной защиты мобильных устройств;</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программные средства централизованного управления, мониторинга и обновления;</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обновляемые базы данных сигнатур вредоносных программ и атак;</w:t>
      </w:r>
    </w:p>
    <w:p>
      <w:pPr>
        <w:pStyle w:val="ListParagraph"/>
        <w:numPr>
          <w:ilvl w:val="0"/>
          <w:numId w:val="12"/>
        </w:numPr>
        <w:suppressAutoHyphens w:val="false"/>
        <w:spacing w:lineRule="auto" w:line="240"/>
        <w:jc w:val="both"/>
        <w:rPr>
          <w:rFonts w:ascii="Times New Roman" w:hAnsi="Times New Roman" w:cs="Times New Roman"/>
          <w:sz w:val="22"/>
        </w:rPr>
      </w:pPr>
      <w:r>
        <w:rPr>
          <w:rFonts w:cs="Times New Roman"/>
          <w:sz w:val="22"/>
        </w:rPr>
        <w:t>эксплуатационную документацию на русском языке.</w:t>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Программный интерфейс всех антивирусных средств, включая средства управления, должен быть на русском и английском языке.</w:t>
      </w:r>
    </w:p>
    <w:p>
      <w:pPr>
        <w:pStyle w:val="Normal"/>
        <w:spacing w:lineRule="auto" w:line="240"/>
        <w:jc w:val="both"/>
        <w:rPr>
          <w:rFonts w:ascii="Times New Roman" w:hAnsi="Times New Roman" w:cs="Times New Roman"/>
          <w:sz w:val="22"/>
        </w:rPr>
      </w:pPr>
      <w:r>
        <w:rPr>
          <w:rFonts w:cs="Times New Roman" w:ascii="Times New Roman" w:hAnsi="Times New Roman"/>
          <w:sz w:val="22"/>
        </w:rPr>
        <w:t>Все антивирусные средства, включая средства управления, должны обладать контекстной справочной системой на русском и английском языке.</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12" w:name="_Toc35803028"/>
      <w:bookmarkStart w:id="13" w:name="_Toc213673499"/>
      <w:r>
        <w:rPr>
          <w:rFonts w:eastAsia="Calibri" w:cs="Times New Roman" w:eastAsiaTheme="minorHAnsi"/>
          <w:color w:val="auto"/>
          <w:sz w:val="22"/>
          <w:szCs w:val="22"/>
        </w:rPr>
        <w:t>Требования к программным средствам антивирусной защиты для рабочих станций Windows</w:t>
      </w:r>
      <w:bookmarkEnd w:id="12"/>
      <w:bookmarkEnd w:id="13"/>
      <w:r>
        <w:rPr>
          <w:rFonts w:eastAsia="Calibri" w:cs="Times New Roman" w:eastAsiaTheme="minorHAnsi"/>
          <w:color w:val="auto"/>
          <w:sz w:val="22"/>
          <w:szCs w:val="22"/>
        </w:rPr>
        <w:t xml:space="preserve"> </w:t>
      </w:r>
    </w:p>
    <w:p>
      <w:pPr>
        <w:pStyle w:val="Normal"/>
        <w:spacing w:lineRule="auto" w:line="240"/>
        <w:jc w:val="both"/>
        <w:rPr>
          <w:rFonts w:ascii="Times New Roman" w:hAnsi="Times New Roman" w:cs="Times New Roman"/>
          <w:sz w:val="22"/>
        </w:rPr>
      </w:pPr>
      <w:r>
        <w:rPr>
          <w:rFonts w:cs="Times New Roman" w:ascii="Times New Roman" w:hAnsi="Times New Roman"/>
          <w:sz w:val="22"/>
        </w:rPr>
        <w:t>Средства антивирусной защиты для рабочих станций Windows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должны функционировать на компьютерах, работающих под управлением операционной системы для рабочих станций следующих версий:</w:t>
      </w:r>
    </w:p>
    <w:p>
      <w:pPr>
        <w:pStyle w:val="ListParagraph"/>
        <w:widowControl/>
        <w:numPr>
          <w:ilvl w:val="0"/>
          <w:numId w:val="10"/>
        </w:numPr>
        <w:suppressAutoHyphens w:val="false"/>
        <w:bidi w:val="0"/>
        <w:spacing w:lineRule="auto" w:line="240" w:before="0" w:after="0"/>
        <w:ind w:hanging="737" w:left="737" w:right="0"/>
        <w:jc w:val="both"/>
        <w:textAlignment w:val="baseline"/>
        <w:rPr>
          <w:rFonts w:ascii="Times New Roman" w:hAnsi="Times New Roman" w:cs="Times New Roman"/>
          <w:sz w:val="22"/>
          <w:lang w:val="en-US"/>
        </w:rPr>
      </w:pPr>
      <w:r>
        <w:rPr>
          <w:rFonts w:cs="Times New Roman"/>
          <w:sz w:val="22"/>
          <w:lang w:val="en-US"/>
        </w:rPr>
        <w:t xml:space="preserve">    </w:t>
      </w:r>
      <w:r>
        <w:rPr>
          <w:rFonts w:cs="Times New Roman"/>
          <w:sz w:val="22"/>
          <w:lang w:val="en-US"/>
        </w:rPr>
        <w:t>Windows 7 Home / Professional / Ultimate / Enterprise SP1 (32 / 64-</w:t>
      </w:r>
      <w:r>
        <w:rPr>
          <w:rFonts w:cs="Times New Roman"/>
          <w:sz w:val="22"/>
        </w:rPr>
        <w:t>разрядная</w:t>
      </w:r>
      <w:r>
        <w:rPr>
          <w:rFonts w:cs="Times New Roman"/>
          <w:sz w:val="22"/>
          <w:lang w:val="en-US"/>
        </w:rPr>
        <w:t>);</w:t>
      </w:r>
    </w:p>
    <w:p>
      <w:pPr>
        <w:pStyle w:val="ListParagraph"/>
        <w:widowControl/>
        <w:numPr>
          <w:ilvl w:val="0"/>
          <w:numId w:val="10"/>
        </w:numPr>
        <w:suppressAutoHyphens w:val="false"/>
        <w:bidi w:val="0"/>
        <w:spacing w:lineRule="auto" w:line="240" w:before="0" w:after="0"/>
        <w:ind w:hanging="737" w:left="737" w:right="0"/>
        <w:jc w:val="both"/>
        <w:textAlignment w:val="baseline"/>
        <w:rPr/>
      </w:pPr>
      <w:r>
        <w:rPr>
          <w:rFonts w:cs="Times New Roman"/>
          <w:sz w:val="22"/>
        </w:rPr>
        <w:t xml:space="preserve">    </w:t>
      </w:r>
      <w:r>
        <w:rPr>
          <w:rFonts w:cs="Times New Roman"/>
          <w:sz w:val="22"/>
        </w:rPr>
        <w:t>Windows 8 Professional / Enterprise (32 / 64-разрядная);</w:t>
      </w:r>
    </w:p>
    <w:p>
      <w:pPr>
        <w:pStyle w:val="ListParagraph"/>
        <w:widowControl/>
        <w:numPr>
          <w:ilvl w:val="0"/>
          <w:numId w:val="10"/>
        </w:numPr>
        <w:suppressAutoHyphens w:val="false"/>
        <w:bidi w:val="0"/>
        <w:spacing w:lineRule="auto" w:line="240" w:before="0" w:after="0"/>
        <w:ind w:hanging="737" w:left="737" w:right="0"/>
        <w:jc w:val="both"/>
        <w:textAlignment w:val="baseline"/>
        <w:rPr/>
      </w:pPr>
      <w:r>
        <w:rPr>
          <w:rFonts w:cs="Times New Roman"/>
          <w:sz w:val="22"/>
        </w:rPr>
        <w:t xml:space="preserve">    </w:t>
      </w:r>
      <w:r>
        <w:rPr>
          <w:rFonts w:cs="Times New Roman"/>
          <w:sz w:val="22"/>
        </w:rPr>
        <w:t>Windows 8.1 Professional / Enterprise (32 / 64-разрядная);</w:t>
      </w:r>
    </w:p>
    <w:p>
      <w:pPr>
        <w:pStyle w:val="ListParagraph"/>
        <w:widowControl/>
        <w:numPr>
          <w:ilvl w:val="0"/>
          <w:numId w:val="10"/>
        </w:numPr>
        <w:suppressAutoHyphens w:val="false"/>
        <w:bidi w:val="0"/>
        <w:spacing w:lineRule="auto" w:line="240" w:before="0" w:after="0"/>
        <w:ind w:hanging="737" w:left="737" w:right="0"/>
        <w:jc w:val="both"/>
        <w:textAlignment w:val="baseline"/>
        <w:rPr/>
      </w:pPr>
      <w:r>
        <w:rPr>
          <w:rFonts w:cs="Times New Roman"/>
          <w:sz w:val="22"/>
          <w:lang w:val="en-US"/>
        </w:rPr>
        <w:t xml:space="preserve">   </w:t>
      </w:r>
      <w:r>
        <w:rPr>
          <w:rFonts w:cs="Times New Roman"/>
          <w:sz w:val="22"/>
          <w:lang w:val="en-US"/>
        </w:rPr>
        <w:t xml:space="preserve">Windows 10 Home / Pro / Pro </w:t>
      </w:r>
      <w:r>
        <w:rPr>
          <w:rFonts w:cs="Times New Roman"/>
          <w:sz w:val="22"/>
        </w:rPr>
        <w:t>для</w:t>
      </w:r>
      <w:r>
        <w:rPr>
          <w:rFonts w:cs="Times New Roman"/>
          <w:sz w:val="22"/>
          <w:lang w:val="en-US"/>
        </w:rPr>
        <w:t xml:space="preserve"> </w:t>
      </w:r>
      <w:r>
        <w:rPr>
          <w:rFonts w:cs="Times New Roman"/>
          <w:sz w:val="22"/>
        </w:rPr>
        <w:t>рабочих</w:t>
      </w:r>
      <w:r>
        <w:rPr>
          <w:rFonts w:cs="Times New Roman"/>
          <w:sz w:val="22"/>
          <w:lang w:val="en-US"/>
        </w:rPr>
        <w:t xml:space="preserve"> </w:t>
      </w:r>
      <w:r>
        <w:rPr>
          <w:rFonts w:cs="Times New Roman"/>
          <w:sz w:val="22"/>
        </w:rPr>
        <w:t>станций</w:t>
      </w:r>
      <w:r>
        <w:rPr>
          <w:rFonts w:cs="Times New Roman"/>
          <w:sz w:val="22"/>
          <w:lang w:val="en-US"/>
        </w:rPr>
        <w:t xml:space="preserve"> / Education / Enterprise / Enterprise multisession (</w:t>
      </w:r>
      <w:r>
        <w:rPr>
          <w:rFonts w:cs="Times New Roman"/>
          <w:sz w:val="22"/>
        </w:rPr>
        <w:t>версии</w:t>
      </w:r>
      <w:r>
        <w:rPr>
          <w:rFonts w:cs="Times New Roman"/>
          <w:sz w:val="22"/>
          <w:lang w:val="en-US"/>
        </w:rPr>
        <w:t xml:space="preserve"> 1507, 1511, 1607, 1703, 1709, 1803, 1809, 1903, 1909, 2004, 20H2, 21H1, 21H2, </w:t>
      </w:r>
      <w:r>
        <w:rPr>
          <w:rFonts w:cs="Times New Roman"/>
          <w:sz w:val="22"/>
        </w:rPr>
        <w:t>22H2);</w:t>
      </w:r>
    </w:p>
    <w:p>
      <w:pPr>
        <w:pStyle w:val="ListParagraph"/>
        <w:widowControl/>
        <w:numPr>
          <w:ilvl w:val="0"/>
          <w:numId w:val="10"/>
        </w:numPr>
        <w:suppressAutoHyphens w:val="false"/>
        <w:bidi w:val="0"/>
        <w:spacing w:lineRule="auto" w:line="240" w:before="0" w:after="0"/>
        <w:ind w:hanging="737" w:left="737" w:right="0"/>
        <w:jc w:val="both"/>
        <w:textAlignment w:val="baseline"/>
        <w:rPr/>
      </w:pPr>
      <w:r>
        <w:rPr>
          <w:rFonts w:cs="Times New Roman"/>
          <w:sz w:val="22"/>
          <w:lang w:val="en-US"/>
        </w:rPr>
        <w:t xml:space="preserve">     </w:t>
      </w:r>
      <w:r>
        <w:rPr>
          <w:rFonts w:cs="Times New Roman"/>
          <w:sz w:val="22"/>
          <w:lang w:val="en-US"/>
        </w:rPr>
        <w:t xml:space="preserve">Windows 11 Home / Pro / Pro </w:t>
      </w:r>
      <w:r>
        <w:rPr>
          <w:rFonts w:cs="Times New Roman"/>
          <w:sz w:val="22"/>
        </w:rPr>
        <w:t>для</w:t>
      </w:r>
      <w:r>
        <w:rPr>
          <w:rFonts w:cs="Times New Roman"/>
          <w:sz w:val="22"/>
          <w:lang w:val="en-US"/>
        </w:rPr>
        <w:t xml:space="preserve"> </w:t>
      </w:r>
      <w:r>
        <w:rPr>
          <w:rFonts w:cs="Times New Roman"/>
          <w:sz w:val="22"/>
        </w:rPr>
        <w:t>рабочих</w:t>
      </w:r>
      <w:r>
        <w:rPr>
          <w:rFonts w:cs="Times New Roman"/>
          <w:sz w:val="22"/>
          <w:lang w:val="en-US"/>
        </w:rPr>
        <w:t xml:space="preserve"> </w:t>
      </w:r>
      <w:r>
        <w:rPr>
          <w:rFonts w:cs="Times New Roman"/>
          <w:sz w:val="22"/>
        </w:rPr>
        <w:t>станций</w:t>
      </w:r>
      <w:r>
        <w:rPr>
          <w:rFonts w:cs="Times New Roman"/>
          <w:sz w:val="22"/>
          <w:lang w:val="en-US"/>
        </w:rPr>
        <w:t xml:space="preserve"> / Education / Enterprise (</w:t>
      </w:r>
      <w:r>
        <w:rPr>
          <w:rFonts w:cs="Times New Roman"/>
          <w:sz w:val="22"/>
        </w:rPr>
        <w:t>версии</w:t>
      </w:r>
      <w:r>
        <w:rPr>
          <w:rFonts w:cs="Times New Roman"/>
          <w:sz w:val="22"/>
          <w:lang w:val="en-US"/>
        </w:rPr>
        <w:t xml:space="preserve"> 22H2, 23H2, </w:t>
      </w:r>
      <w:r>
        <w:rPr>
          <w:rFonts w:cs="Times New Roman"/>
          <w:sz w:val="22"/>
        </w:rPr>
        <w:t>24H2)</w:t>
      </w:r>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 xml:space="preserve">Программные средства антивирусной защиты </w:t>
      </w:r>
      <w:bookmarkStart w:id="14" w:name="_Hlk100004340"/>
      <w:r>
        <w:rPr>
          <w:rFonts w:cs="Times New Roman" w:ascii="Times New Roman" w:hAnsi="Times New Roman"/>
          <w:sz w:val="22"/>
        </w:rPr>
        <w:t xml:space="preserve">(далее САВЗ) </w:t>
      </w:r>
      <w:bookmarkEnd w:id="14"/>
      <w:r>
        <w:rPr>
          <w:rFonts w:cs="Times New Roman" w:ascii="Times New Roman" w:hAnsi="Times New Roman"/>
          <w:sz w:val="22"/>
        </w:rPr>
        <w:t>для рабочих станций Windows должны обеспечивать реализацию следующих функциональных возможностей:</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управлять режимом выполнения функций безопасности САВЗ;</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управлять параметрами настройки функций безопасности САВЗ;</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получение и установку обновлений в автоматизированном режиме, в том числе с сетевого ресурса;</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получение и установку обновлений без применения средств автоматизации;</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генерацию записи аудита для событий, подвергаемых аудиту;</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чтение информации из записей аудита;</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ассоциацию событий аудита с идентификаторами субъектов;</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ограничение доступа к чтению записей аудита;</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поиск, сортировку, упорядочение данных аудита;</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в режиме реального времени в файлах, полученных по каналам передачи данных;</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по команде;</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в режиме динамического обнаружения в процессе выполнения операций доступа к объектам;</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сигнатурными и эвристическими методами;</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удаление (если удаление технически возможно) вредоносного кода из оперативной памяти, удаления файлов, в которых обнаружен вредоносный код, а также файлов, с подозрением на наличие вредоносного кода;</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перемещения и изолирования зараженных объектов, удаления вредоносного кода из файлов и системных областей носителей информации;</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блокирования АРМ, на котором обнаружены зараженные файлы;</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восстановления функциональных свойств зараженных объектов;</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отображение сигнала тревоги об обнаружении вредоносных объектов;</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контроля доступа к веб-ресурсам;</w:t>
      </w:r>
    </w:p>
    <w:p>
      <w:pPr>
        <w:pStyle w:val="ListParagraph"/>
        <w:numPr>
          <w:ilvl w:val="0"/>
          <w:numId w:val="11"/>
        </w:numPr>
        <w:suppressAutoHyphens w:val="false"/>
        <w:spacing w:lineRule="auto" w:line="240"/>
        <w:jc w:val="both"/>
        <w:rPr>
          <w:rFonts w:ascii="Times New Roman" w:hAnsi="Times New Roman" w:cs="Times New Roman"/>
          <w:sz w:val="22"/>
        </w:rPr>
      </w:pPr>
      <w:r>
        <w:rPr>
          <w:rFonts w:cs="Times New Roman"/>
          <w:sz w:val="22"/>
        </w:rPr>
        <w:t>возможность контроля за запуском ПО на защищаемом АРМ.</w:t>
      </w:r>
    </w:p>
    <w:p>
      <w:pPr>
        <w:pStyle w:val="Normal"/>
        <w:spacing w:lineRule="auto" w:line="240"/>
        <w:jc w:val="both"/>
        <w:rPr>
          <w:rFonts w:ascii="Times New Roman" w:hAnsi="Times New Roman" w:cs="Times New Roman"/>
          <w:sz w:val="22"/>
        </w:rPr>
      </w:pPr>
      <w:r>
        <w:rPr>
          <w:rFonts w:cs="Times New Roman" w:ascii="Times New Roman" w:hAnsi="Times New Roman"/>
          <w:sz w:val="22"/>
        </w:rPr>
        <w:t>Кроме того, программные средства антивирусной защиты для рабочих станций Windows должны обеспечивать реализацию следующих функциональных возможностей, не требующих сертификацию ФСТЭК:</w:t>
      </w:r>
    </w:p>
    <w:p>
      <w:pPr>
        <w:pStyle w:val="ListParagraph"/>
        <w:numPr>
          <w:ilvl w:val="0"/>
          <w:numId w:val="4"/>
        </w:numPr>
        <w:suppressAutoHyphens w:val="false"/>
        <w:spacing w:lineRule="auto" w:line="240"/>
        <w:ind w:hanging="284" w:left="851"/>
        <w:jc w:val="both"/>
        <w:rPr>
          <w:rFonts w:ascii="Times New Roman" w:hAnsi="Times New Roman" w:cs="Times New Roman"/>
          <w:sz w:val="22"/>
        </w:rPr>
      </w:pPr>
      <w:r>
        <w:rPr>
          <w:rFonts w:cs="Times New Roman"/>
          <w:sz w:val="22"/>
        </w:rPr>
        <w:t>антивирусное сканирования в режиме реального времени и по запросу из контекстного меню объекта;</w:t>
      </w:r>
    </w:p>
    <w:p>
      <w:pPr>
        <w:pStyle w:val="ListParagraph"/>
        <w:numPr>
          <w:ilvl w:val="0"/>
          <w:numId w:val="4"/>
        </w:numPr>
        <w:suppressAutoHyphens w:val="false"/>
        <w:spacing w:lineRule="auto" w:line="240"/>
        <w:ind w:hanging="284" w:left="851"/>
        <w:jc w:val="both"/>
        <w:rPr>
          <w:rFonts w:ascii="Times New Roman" w:hAnsi="Times New Roman" w:cs="Times New Roman"/>
          <w:sz w:val="22"/>
        </w:rPr>
      </w:pPr>
      <w:r>
        <w:rPr>
          <w:rFonts w:cs="Times New Roman"/>
          <w:sz w:val="22"/>
        </w:rPr>
        <w:t>антивирусное сканирование по расписанию;</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антивирусное сканирование подключаемых устройств;</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эвристического анализатора, позволяющего распознавать и блокировать ранее неизвестные вредоносные программы;</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нейтрализации действий активного заражения;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анализа обращений к общим папкам и файлам для выявления попыток шифрования защищаемых ресурсов доступных по сети;</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откат действий вредоносного программного обеспечения при лечении, в том числе, восстановление зашифрованных, вредоносными программами, файлов;</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облачной защиты от новых угроз, позволяющей приложению в режиме реального времени обращаться к ресурсам производителя, для получения вердикта по запускаемой программе или файлу;</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антивирусной проверки и лечения файлов в архивах следующих форматов: RAR, ARJ, ZIP, CAB, LHA, JAR, ICE;</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 xml:space="preserve">защиты электронной почты от вредоносных программ с проверкой входящего и исходящего трафика, передающегося по следующим протоколам: IMAP, SMTP, POP3, MAPI, NNTP; </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фильтра почтовых вложений с возможностью переименования или удаления заданных типов файлов;</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проверку сетевого трафика, поступающего на компьютер пользователя по протоколам HTTPS (SSL 3.0, TLS 1.0, TLS 1.1, TLS 1.2), HTTP, FTP, в том числе с помощью эвристического анализа, c возможностью настройки доверенных ресурсов и работой в режиме блокировки или статистики;</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блокировку баннеров и всплывающих окон на загружаемых Web-страницах;</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распознавания и блокировку фишинговых и небезопасных сайтов;</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защиты от сетевых атак с использованием правил сетевого экрана для приложений и портов в вычислительных сетях любого типа;</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защиты от сетевых угроз, которые используют уязвимости в ARP-протоколе для подделки MAC-адреса устройства;</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контроль сетевых подключений типа сетевой мост, с возможностью блокировки одновременной установки нескольких сетевых подключений;</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создания специальных правил, запрещающих или разрешающих установку и/или запуск программ для всех или для определенных групп пользователей (Active Directory или локальных пользователей/групп), компонент должен контролировать приложения как по пути нахождения программы, метаданным, сертификату или его отпечатку, контрольной сумме,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контроля работы пользователя с внешними устройствами ввода/вывода по типу устройства и/или используемой шине,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Active Directory;</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управления МТР устройствами и настройки правил доступа к устройствам этого типа для всех или для групп пользователей (Active Directory или локальных пользователей/групп), в рамках контроля устройств;</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записи в журнал событий о записи и/или удалении файлов на съемных дисках;</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контроля работы пользователя с сетью Интернет, в том числе добавления, редактирования категорий, включение явного запрета или разрешения доступа к ресурсам определенного содержания, категории созданной и динамически обновляемой производителем, а также типа информации (аудио, видео и др.), позволять вводить временные интервалы контроля, а также назначать его только определенным пользователям из Active Directory;</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защиты от атак типа BadUSB;</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защиты от удаленного несанкционированного управления сервисом приложения, а также защита доступа к параметрам приложения с помощью пароля;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установки только выбранных компонентов программного средства антивирусной защиты;</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централизованное управление всеми вышеуказанными компонентами с помощью единой системы управления;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запуск задач по расписанию и/или сразу после запуска приложения;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ускорение процесса сканирования за счет пропуска объектов, состояние которых со времени прошлой проверки не изменилось;</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проверки целостности антивирусной программы;</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наличие у антивируса защищенного хранилища для удаленных зараженных файлов, с возможностью их восстановления;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наличие защищенного хранилища для отчетов о работе антивируса;</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pPr>
        <w:pStyle w:val="ListParagraph"/>
        <w:numPr>
          <w:ilvl w:val="1"/>
          <w:numId w:val="3"/>
        </w:numPr>
        <w:suppressAutoHyphens w:val="false"/>
        <w:spacing w:lineRule="auto" w:line="240"/>
        <w:ind w:hanging="284" w:left="851"/>
        <w:jc w:val="both"/>
        <w:rPr>
          <w:rFonts w:ascii="Times New Roman" w:hAnsi="Times New Roman" w:cs="Times New Roman"/>
          <w:sz w:val="22"/>
          <w:lang w:val="en-US"/>
        </w:rPr>
      </w:pPr>
      <w:r>
        <w:rPr>
          <w:rFonts w:cs="Times New Roman"/>
          <w:sz w:val="22"/>
        </w:rPr>
        <w:t>возможность</w:t>
      </w:r>
      <w:r>
        <w:rPr>
          <w:rFonts w:cs="Times New Roman"/>
          <w:sz w:val="22"/>
          <w:lang w:val="en-US"/>
        </w:rPr>
        <w:t xml:space="preserve"> </w:t>
      </w:r>
      <w:r>
        <w:rPr>
          <w:rFonts w:cs="Times New Roman"/>
          <w:sz w:val="22"/>
        </w:rPr>
        <w:t>интеграции</w:t>
      </w:r>
      <w:r>
        <w:rPr>
          <w:rFonts w:cs="Times New Roman"/>
          <w:sz w:val="22"/>
          <w:lang w:val="en-US"/>
        </w:rPr>
        <w:t xml:space="preserve"> </w:t>
      </w:r>
      <w:r>
        <w:rPr>
          <w:rFonts w:cs="Times New Roman"/>
          <w:sz w:val="22"/>
        </w:rPr>
        <w:t>с</w:t>
      </w:r>
      <w:r>
        <w:rPr>
          <w:rFonts w:cs="Times New Roman"/>
          <w:sz w:val="22"/>
          <w:lang w:val="en-US"/>
        </w:rPr>
        <w:t xml:space="preserve"> Windows Defender Security Center;</w:t>
      </w:r>
    </w:p>
    <w:p>
      <w:pPr>
        <w:pStyle w:val="ListParagraph"/>
        <w:numPr>
          <w:ilvl w:val="1"/>
          <w:numId w:val="3"/>
        </w:numPr>
        <w:suppressAutoHyphens w:val="false"/>
        <w:spacing w:lineRule="auto" w:line="240"/>
        <w:ind w:hanging="284" w:left="851"/>
        <w:jc w:val="both"/>
        <w:rPr>
          <w:rFonts w:ascii="Times New Roman" w:hAnsi="Times New Roman" w:cs="Times New Roman"/>
          <w:sz w:val="22"/>
          <w:lang w:val="en-US"/>
        </w:rPr>
      </w:pPr>
      <w:r>
        <w:rPr>
          <w:rFonts w:cs="Times New Roman"/>
          <w:sz w:val="22"/>
        </w:rPr>
        <w:t>наличие</w:t>
      </w:r>
      <w:r>
        <w:rPr>
          <w:rFonts w:cs="Times New Roman"/>
          <w:sz w:val="22"/>
          <w:lang w:val="en-US"/>
        </w:rPr>
        <w:t xml:space="preserve"> </w:t>
      </w:r>
      <w:r>
        <w:rPr>
          <w:rFonts w:cs="Times New Roman"/>
          <w:sz w:val="22"/>
        </w:rPr>
        <w:t>поддержки</w:t>
      </w:r>
      <w:r>
        <w:rPr>
          <w:rFonts w:cs="Times New Roman"/>
          <w:sz w:val="22"/>
          <w:lang w:val="en-US"/>
        </w:rPr>
        <w:t xml:space="preserve"> Antimalware Scan Interface (AMSI);</w:t>
      </w:r>
    </w:p>
    <w:p>
      <w:pPr>
        <w:pStyle w:val="ListParagraph"/>
        <w:numPr>
          <w:ilvl w:val="1"/>
          <w:numId w:val="3"/>
        </w:numPr>
        <w:suppressAutoHyphens w:val="false"/>
        <w:spacing w:lineRule="auto" w:line="240"/>
        <w:ind w:hanging="284" w:left="851"/>
        <w:jc w:val="both"/>
        <w:rPr>
          <w:rFonts w:ascii="Times New Roman" w:hAnsi="Times New Roman" w:cs="Times New Roman"/>
          <w:sz w:val="22"/>
          <w:lang w:val="en-US"/>
        </w:rPr>
      </w:pPr>
      <w:r>
        <w:rPr>
          <w:rFonts w:cs="Times New Roman"/>
          <w:sz w:val="22"/>
        </w:rPr>
        <w:t>наличие</w:t>
      </w:r>
      <w:r>
        <w:rPr>
          <w:rFonts w:cs="Times New Roman"/>
          <w:sz w:val="22"/>
          <w:lang w:val="en-US"/>
        </w:rPr>
        <w:t xml:space="preserve"> </w:t>
      </w:r>
      <w:r>
        <w:rPr>
          <w:rFonts w:cs="Times New Roman"/>
          <w:sz w:val="22"/>
        </w:rPr>
        <w:t>поддержки</w:t>
      </w:r>
      <w:r>
        <w:rPr>
          <w:rFonts w:cs="Times New Roman"/>
          <w:sz w:val="22"/>
          <w:lang w:val="en-US"/>
        </w:rPr>
        <w:t xml:space="preserve"> Windows Subsystem for Linux (WSL);</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защитить паролем восстановление объектов из резервного хранилища;</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bookmarkStart w:id="15" w:name="_Hlk213668486"/>
      <w:bookmarkEnd w:id="15"/>
      <w:r>
        <w:rPr>
          <w:rFonts w:cs="Times New Roman"/>
          <w:sz w:val="22"/>
        </w:rPr>
        <w:t>возможность ограничить потребление ресурсов процессора для задач поиска вредоносного ПО;</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формировать область защиты для функции защиты папок общего доступа от внешнего шифрования;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настраивать разные наборы компонентов для разных типов операционных систем в инсталляционном пакете;</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выбирать предустановленные исключения из проверки и доверенные приложения;</w:t>
      </w:r>
    </w:p>
    <w:p>
      <w:pPr>
        <w:pStyle w:val="ListParagraph"/>
        <w:numPr>
          <w:ilvl w:val="1"/>
          <w:numId w:val="3"/>
        </w:numPr>
        <w:suppressAutoHyphens w:val="false"/>
        <w:spacing w:lineRule="auto" w:line="240"/>
        <w:ind w:hanging="284" w:left="851"/>
        <w:jc w:val="both"/>
        <w:rPr>
          <w:rFonts w:ascii="Times New Roman" w:hAnsi="Times New Roman" w:cs="Times New Roman"/>
          <w:sz w:val="22"/>
        </w:rPr>
      </w:pPr>
      <w:r>
        <w:rPr>
          <w:rFonts w:cs="Times New Roman"/>
          <w:sz w:val="22"/>
        </w:rPr>
        <w:t>возможность блокировать сетевые соединения по устаревшему протоколу TLS 1.0.</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16" w:name="_Toc35803029"/>
      <w:bookmarkStart w:id="17" w:name="_Toc213673500"/>
      <w:bookmarkStart w:id="18" w:name="_Hlk213668486_Копия_1"/>
      <w:bookmarkEnd w:id="18"/>
      <w:r>
        <w:rPr>
          <w:rFonts w:eastAsia="Calibri" w:cs="Times New Roman" w:eastAsiaTheme="minorHAnsi"/>
          <w:color w:val="auto"/>
          <w:sz w:val="22"/>
          <w:szCs w:val="22"/>
        </w:rPr>
        <w:t>Требования к программным средствам антивирусной защиты для серверов Windows</w:t>
      </w:r>
      <w:bookmarkEnd w:id="16"/>
      <w:bookmarkEnd w:id="17"/>
    </w:p>
    <w:p>
      <w:pPr>
        <w:pStyle w:val="Normal"/>
        <w:spacing w:lineRule="auto" w:line="240"/>
        <w:jc w:val="both"/>
        <w:rPr>
          <w:rFonts w:ascii="Times New Roman" w:hAnsi="Times New Roman" w:cs="Times New Roman"/>
          <w:sz w:val="22"/>
        </w:rPr>
      </w:pPr>
      <w:r>
        <w:rPr>
          <w:rFonts w:cs="Times New Roman" w:ascii="Times New Roman" w:hAnsi="Times New Roman"/>
          <w:sz w:val="22"/>
        </w:rPr>
        <w:t>Средства антивирусной защиты для файловых серверов Windows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должны функционировать на компьютерах, работающих под управлением операционной системы для файловых серверов следующих версий:</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Windows Small Business Server 2011 Essentials / Standard;</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Windows MultiPoint Server 2011 (64-разрядная);</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 xml:space="preserve">Windows Server 2008 R2 Foundation / Standard / Enterprise / Datacenter Service Pack 1 </w:t>
      </w:r>
      <w:r>
        <w:rPr>
          <w:rFonts w:cs="Times New Roman"/>
          <w:sz w:val="22"/>
        </w:rPr>
        <w:t>и</w:t>
      </w:r>
      <w:r>
        <w:rPr>
          <w:rFonts w:cs="Times New Roman"/>
          <w:sz w:val="22"/>
          <w:lang w:val="en-US"/>
        </w:rPr>
        <w:t xml:space="preserve"> </w:t>
      </w:r>
      <w:r>
        <w:rPr>
          <w:rFonts w:cs="Times New Roman"/>
          <w:sz w:val="22"/>
        </w:rPr>
        <w:t>выше</w:t>
      </w:r>
      <w:r>
        <w:rPr>
          <w:rFonts w:cs="Times New Roman"/>
          <w:sz w:val="22"/>
          <w:lang w:val="en-US"/>
        </w:rPr>
        <w:t>;</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 xml:space="preserve">Windows Web Server 2008 R2 Service Pack 1 </w:t>
      </w:r>
      <w:r>
        <w:rPr>
          <w:rFonts w:cs="Times New Roman"/>
          <w:sz w:val="22"/>
        </w:rPr>
        <w:t>и</w:t>
      </w:r>
      <w:r>
        <w:rPr>
          <w:rFonts w:cs="Times New Roman"/>
          <w:sz w:val="22"/>
          <w:lang w:val="en-US"/>
        </w:rPr>
        <w:t xml:space="preserve"> </w:t>
      </w:r>
      <w:r>
        <w:rPr>
          <w:rFonts w:cs="Times New Roman"/>
          <w:sz w:val="22"/>
        </w:rPr>
        <w:t>выше</w:t>
      </w:r>
      <w:r>
        <w:rPr>
          <w:rFonts w:cs="Times New Roman"/>
          <w:sz w:val="22"/>
          <w:lang w:val="en-US"/>
        </w:rPr>
        <w:t>;</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Windows Server 2012 Foundation / Essentials / Standard / Datacenter (</w:t>
      </w:r>
      <w:r>
        <w:rPr>
          <w:rFonts w:cs="Times New Roman"/>
          <w:sz w:val="22"/>
        </w:rPr>
        <w:t>включая</w:t>
      </w:r>
      <w:r>
        <w:rPr>
          <w:rFonts w:cs="Times New Roman"/>
          <w:sz w:val="22"/>
          <w:lang w:val="en-US"/>
        </w:rPr>
        <w:t xml:space="preserve"> </w:t>
      </w:r>
      <w:r>
        <w:rPr>
          <w:rFonts w:cs="Times New Roman"/>
          <w:sz w:val="22"/>
        </w:rPr>
        <w:t>режим</w:t>
      </w:r>
      <w:r>
        <w:rPr>
          <w:rFonts w:cs="Times New Roman"/>
          <w:sz w:val="22"/>
          <w:lang w:val="en-US"/>
        </w:rPr>
        <w:t xml:space="preserve"> Server </w:t>
      </w:r>
      <w:r>
        <w:rPr>
          <w:rFonts w:cs="Times New Roman"/>
          <w:sz w:val="22"/>
        </w:rPr>
        <w:t>Core);</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Windows Server 2012 R2 Foundation / Essentials / Standard / Datacenter (</w:t>
      </w:r>
      <w:r>
        <w:rPr>
          <w:rFonts w:cs="Times New Roman"/>
          <w:sz w:val="22"/>
        </w:rPr>
        <w:t>включая</w:t>
      </w:r>
      <w:r>
        <w:rPr>
          <w:rFonts w:cs="Times New Roman"/>
          <w:sz w:val="22"/>
          <w:lang w:val="en-US"/>
        </w:rPr>
        <w:t xml:space="preserve"> </w:t>
      </w:r>
      <w:r>
        <w:rPr>
          <w:rFonts w:cs="Times New Roman"/>
          <w:sz w:val="22"/>
        </w:rPr>
        <w:t>режим</w:t>
      </w:r>
      <w:r>
        <w:rPr>
          <w:rFonts w:cs="Times New Roman"/>
          <w:sz w:val="22"/>
          <w:lang w:val="en-US"/>
        </w:rPr>
        <w:t xml:space="preserve"> Server </w:t>
      </w:r>
      <w:r>
        <w:rPr>
          <w:rFonts w:cs="Times New Roman"/>
          <w:sz w:val="22"/>
        </w:rPr>
        <w:t>Core);</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Windows Server 2016 Essentials / Standard / Datacenter (</w:t>
      </w:r>
      <w:r>
        <w:rPr>
          <w:rFonts w:cs="Times New Roman"/>
          <w:sz w:val="22"/>
        </w:rPr>
        <w:t>включая</w:t>
      </w:r>
      <w:r>
        <w:rPr>
          <w:rFonts w:cs="Times New Roman"/>
          <w:sz w:val="22"/>
          <w:lang w:val="en-US"/>
        </w:rPr>
        <w:t xml:space="preserve"> </w:t>
      </w:r>
      <w:r>
        <w:rPr>
          <w:rFonts w:cs="Times New Roman"/>
          <w:sz w:val="22"/>
        </w:rPr>
        <w:t>режим</w:t>
      </w:r>
      <w:r>
        <w:rPr>
          <w:rFonts w:cs="Times New Roman"/>
          <w:sz w:val="22"/>
          <w:lang w:val="en-US"/>
        </w:rPr>
        <w:t xml:space="preserve"> Server Core);</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Windows Server 2019 Essentials / Standard / Datacenter (</w:t>
      </w:r>
      <w:r>
        <w:rPr>
          <w:rFonts w:cs="Times New Roman"/>
          <w:sz w:val="22"/>
        </w:rPr>
        <w:t>включая</w:t>
      </w:r>
      <w:r>
        <w:rPr>
          <w:rFonts w:cs="Times New Roman"/>
          <w:sz w:val="22"/>
          <w:lang w:val="en-US"/>
        </w:rPr>
        <w:t xml:space="preserve"> </w:t>
      </w:r>
      <w:r>
        <w:rPr>
          <w:rFonts w:cs="Times New Roman"/>
          <w:sz w:val="22"/>
        </w:rPr>
        <w:t>режим</w:t>
      </w:r>
      <w:r>
        <w:rPr>
          <w:rFonts w:cs="Times New Roman"/>
          <w:sz w:val="22"/>
          <w:lang w:val="en-US"/>
        </w:rPr>
        <w:t xml:space="preserve"> Server Core);</w:t>
      </w:r>
    </w:p>
    <w:p>
      <w:pPr>
        <w:pStyle w:val="ListParagraph"/>
        <w:numPr>
          <w:ilvl w:val="0"/>
          <w:numId w:val="13"/>
        </w:numPr>
        <w:suppressAutoHyphens w:val="false"/>
        <w:spacing w:lineRule="auto" w:line="240"/>
        <w:jc w:val="both"/>
        <w:rPr>
          <w:rFonts w:ascii="Times New Roman" w:hAnsi="Times New Roman" w:cs="Times New Roman"/>
          <w:sz w:val="22"/>
          <w:lang w:val="en-US"/>
        </w:rPr>
      </w:pPr>
      <w:r>
        <w:rPr>
          <w:rFonts w:cs="Times New Roman"/>
          <w:sz w:val="22"/>
          <w:lang w:val="en-US"/>
        </w:rPr>
        <w:t>Windows Server 2022 Standard / Datacenter / Datacenter: Azure Edition (</w:t>
      </w:r>
      <w:r>
        <w:rPr>
          <w:rFonts w:cs="Times New Roman"/>
          <w:sz w:val="22"/>
        </w:rPr>
        <w:t>включая</w:t>
      </w:r>
      <w:r>
        <w:rPr>
          <w:rFonts w:cs="Times New Roman"/>
          <w:sz w:val="22"/>
          <w:lang w:val="en-US"/>
        </w:rPr>
        <w:t xml:space="preserve"> </w:t>
      </w:r>
      <w:r>
        <w:rPr>
          <w:rFonts w:cs="Times New Roman"/>
          <w:sz w:val="22"/>
        </w:rPr>
        <w:t>режим</w:t>
      </w:r>
      <w:r>
        <w:rPr>
          <w:rFonts w:cs="Times New Roman"/>
          <w:sz w:val="22"/>
          <w:lang w:val="en-US"/>
        </w:rPr>
        <w:t xml:space="preserve"> Server </w:t>
      </w:r>
      <w:r>
        <w:rPr>
          <w:rFonts w:cs="Times New Roman"/>
          <w:sz w:val="22"/>
        </w:rPr>
        <w:t>Core);</w:t>
      </w:r>
    </w:p>
    <w:p>
      <w:pPr>
        <w:pStyle w:val="ListParagraph"/>
        <w:numPr>
          <w:ilvl w:val="0"/>
          <w:numId w:val="13"/>
        </w:numPr>
        <w:suppressAutoHyphens w:val="false"/>
        <w:spacing w:lineRule="auto" w:line="240"/>
        <w:jc w:val="both"/>
        <w:rPr>
          <w:rFonts w:ascii="Times New Roman" w:hAnsi="Times New Roman" w:cs="Times New Roman"/>
          <w:sz w:val="22"/>
        </w:rPr>
      </w:pPr>
      <w:bookmarkStart w:id="19" w:name="_Hlk100004424"/>
      <w:r>
        <w:rPr>
          <w:rFonts w:cs="Times New Roman"/>
          <w:sz w:val="22"/>
        </w:rPr>
        <w:t>Windows Server 2025 Standard / Datacenter.</w:t>
      </w:r>
      <w:bookmarkEnd w:id="19"/>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для файловых серверов Windows должны обеспечивать реализацию следующих функциональных возможностей:</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управлять режимом выполнения функций безопасности САВЗ;</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управлять параметрами настройки функций безопасности САВЗ;</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получение и установку обновлений в автоматизированном режиме, в том числе с сетевого ресурса;</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получение и установку обновлений без применения средств автоматизации;</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генерацию записи аудита для событий, подвергаемых аудиту;</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чтение информации из записей аудита;</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ассоциацию событий аудита с идентификаторами субъектов;</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ограничение доступа к чтению записей аудита;</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поиск, сортировку, упорядочение данных аудита;</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в режиме реального времени в файлах, полученных по каналам передачи данных;</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по команде;</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в режиме динамического обнаружения в процессе выполнения операций доступа к объектам;</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сигнатурными и эвристическими методами;</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удаление (если удаление технически возможно) вредоносного кода из оперативной памяти, удаления файлов, в которых обнаружен вредоносный код, а также файлов, с подозрением на наличие вредоносного кода;</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возможность перемещения и изолирования зараженных объектов, удаления вредоносного кода из файлов и системных областей носителей информации;</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возможность блокирования АРМ, на котором обнаружены зараженные файлы;</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возможность восстановления функциональных свойств зараженных объектов;</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отображение сигнала тревоги об обнаружении вредоносных объектов;</w:t>
      </w:r>
    </w:p>
    <w:p>
      <w:pPr>
        <w:pStyle w:val="ListParagraph"/>
        <w:numPr>
          <w:ilvl w:val="0"/>
          <w:numId w:val="14"/>
        </w:numPr>
        <w:suppressAutoHyphens w:val="false"/>
        <w:spacing w:lineRule="auto" w:line="240"/>
        <w:jc w:val="both"/>
        <w:rPr>
          <w:rFonts w:ascii="Times New Roman" w:hAnsi="Times New Roman" w:cs="Times New Roman"/>
          <w:sz w:val="22"/>
        </w:rPr>
      </w:pPr>
      <w:r>
        <w:rPr>
          <w:rFonts w:cs="Times New Roman"/>
          <w:sz w:val="22"/>
        </w:rPr>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pPr>
        <w:pStyle w:val="ListParagraph"/>
        <w:numPr>
          <w:ilvl w:val="0"/>
          <w:numId w:val="14"/>
        </w:numPr>
        <w:suppressAutoHyphens w:val="false"/>
        <w:spacing w:lineRule="auto" w:line="240"/>
        <w:jc w:val="both"/>
        <w:rPr>
          <w:rFonts w:ascii="Times New Roman" w:hAnsi="Times New Roman" w:cs="Times New Roman"/>
          <w:sz w:val="22"/>
        </w:rPr>
      </w:pPr>
      <w:bookmarkStart w:id="20" w:name="_Hlk100004486"/>
      <w:r>
        <w:rPr>
          <w:rFonts w:cs="Times New Roman"/>
          <w:sz w:val="22"/>
        </w:rPr>
        <w:t>возможность контроля за запуском ПО на защищаемом сервере.</w:t>
      </w:r>
      <w:bookmarkEnd w:id="20"/>
    </w:p>
    <w:p>
      <w:pPr>
        <w:pStyle w:val="Normal"/>
        <w:spacing w:lineRule="auto" w:line="240" w:before="0" w:after="0"/>
        <w:jc w:val="both"/>
        <w:rPr/>
      </w:pPr>
      <w:r>
        <w:rPr/>
      </w:r>
    </w:p>
    <w:p>
      <w:pPr>
        <w:pStyle w:val="Normal"/>
        <w:spacing w:lineRule="auto" w:line="240" w:before="0" w:after="0"/>
        <w:jc w:val="both"/>
        <w:rPr/>
      </w:pPr>
      <w:r>
        <w:rPr>
          <w:rFonts w:cs="Times New Roman" w:ascii="Times New Roman" w:hAnsi="Times New Roman"/>
          <w:sz w:val="22"/>
        </w:rPr>
        <w:t>Кроме того, программные средства антивирусной защиты для файловых серверов Windows должны обеспечивать реализацию следующих функциональных возможностей, не требующих сертификацию ФСТЭК:</w:t>
      </w:r>
    </w:p>
    <w:p>
      <w:pPr>
        <w:pStyle w:val="Normal"/>
        <w:spacing w:lineRule="auto" w:line="240" w:before="0" w:after="0"/>
        <w:jc w:val="both"/>
        <w:rPr>
          <w:rFonts w:ascii="Times New Roman" w:hAnsi="Times New Roman" w:cs="Times New Roman"/>
          <w:sz w:val="22"/>
        </w:rPr>
      </w:pPr>
      <w:r>
        <w:rPr>
          <w:rFonts w:cs="Times New Roman" w:ascii="Times New Roman" w:hAnsi="Times New Roman"/>
          <w:sz w:val="22"/>
        </w:rPr>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антивирусное сканирование в режиме реального времени и по запросу из контекстного меню объекта;</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антивирусное сканирование по расписанию;</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антивирусное сканирование подключаемых устройств;</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эвристического анализатора, позволяющего распознавать и блокировать ранее неизвестные вредоносные программы;</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нейтрализации действий активного заражения;</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анализа обращений к общим папкам и файлам для выявления попыток шифрования защищаемых ресурсов доступных по сети;</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блокировка действий вредоносных программ, которые используют уязвимости в программном обеспечении в том числе защита памяти системных процессов;</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откат действий вредоносного программного обеспечения при лечении, в том числе, восстановление зашифрованных, вредоносными программами, файлов;</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облачной защиты от новых угроз, позволяющая приложению в режиме реального времени обращаться к ресурсам производителя, для получения вердикта по запускаемой программе или файлу;</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антивирусной проверки и лечения файлов в архивах форматов RAR, ARJ, ZIP, CAB, LHA, JAR, ICE;</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 xml:space="preserve">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создания специальных правил, запрещающих или разрешающих установку и/или запуск программ для всех или же для определенных групп пользователей (Active Directory или локальных пользователей/групп), компонент должен контролировать приложения как по пути нахождения программы, метаданным, сертификату или его отпечатку, контрольной сумме,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защиты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установки только выбранных компонентов программного средства антивирусной защиты;</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запуск задач по расписанию и/или сразу после загрузки операционной системы;</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ускорение процесса сканирования за счет пропуска объектов, состояние которых со времени прошлой проверки не изменилось;</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проверки целостности антивирусной программы;</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добавления исключений из антивирусной проверки по контрольной сумме файл, маске имени/директории или по наличию у файла доверенной цифровой подписи;</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наличие у антивируса защищенного хранилища для удаленных зараженных файлов, с возможностью их восстановления;</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наличие защищенного хранилища для отчетов о работе антивируса;</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включения и выключения графического интерфейса антивируса, а также наличие упрощенной версии графического интерфейса, с минимальным набором возможностей;</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w:t>
      </w:r>
      <w:r>
        <w:rPr>
          <w:rFonts w:cs="Times New Roman"/>
          <w:sz w:val="22"/>
          <w:lang w:val="en-US"/>
        </w:rPr>
        <w:t xml:space="preserve"> </w:t>
      </w:r>
      <w:r>
        <w:rPr>
          <w:rFonts w:cs="Times New Roman"/>
          <w:sz w:val="22"/>
        </w:rPr>
        <w:t>интеграции</w:t>
      </w:r>
      <w:r>
        <w:rPr>
          <w:rFonts w:cs="Times New Roman"/>
          <w:sz w:val="22"/>
          <w:lang w:val="en-US"/>
        </w:rPr>
        <w:t xml:space="preserve"> </w:t>
      </w:r>
      <w:r>
        <w:rPr>
          <w:rFonts w:cs="Times New Roman"/>
          <w:sz w:val="22"/>
        </w:rPr>
        <w:t>с</w:t>
      </w:r>
      <w:r>
        <w:rPr>
          <w:rFonts w:cs="Times New Roman"/>
          <w:sz w:val="22"/>
          <w:lang w:val="en-US"/>
        </w:rPr>
        <w:t xml:space="preserve"> Windows Defender Security Center;</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наличие</w:t>
      </w:r>
      <w:r>
        <w:rPr>
          <w:rFonts w:cs="Times New Roman"/>
          <w:sz w:val="22"/>
          <w:lang w:val="en-US"/>
        </w:rPr>
        <w:t xml:space="preserve"> </w:t>
      </w:r>
      <w:r>
        <w:rPr>
          <w:rFonts w:cs="Times New Roman"/>
          <w:sz w:val="22"/>
        </w:rPr>
        <w:t>поддержки</w:t>
      </w:r>
      <w:r>
        <w:rPr>
          <w:rFonts w:cs="Times New Roman"/>
          <w:sz w:val="22"/>
          <w:lang w:val="en-US"/>
        </w:rPr>
        <w:t xml:space="preserve"> Antimalware Scan Interface (AMSI);</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наличие</w:t>
      </w:r>
      <w:r>
        <w:rPr>
          <w:rFonts w:cs="Times New Roman"/>
          <w:sz w:val="22"/>
          <w:lang w:val="en-US"/>
        </w:rPr>
        <w:t xml:space="preserve"> </w:t>
      </w:r>
      <w:r>
        <w:rPr>
          <w:rFonts w:cs="Times New Roman"/>
          <w:sz w:val="22"/>
        </w:rPr>
        <w:t>поддержки</w:t>
      </w:r>
      <w:r>
        <w:rPr>
          <w:rFonts w:cs="Times New Roman"/>
          <w:sz w:val="22"/>
          <w:lang w:val="en-US"/>
        </w:rPr>
        <w:t xml:space="preserve"> Windows Subsystem for Linux (WSL);</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защитить паролем восстановление объектов из резервного хранилища;</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ограничить потребление ресурсов процессора для задач поиска вредоносного ПО;</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формировать область защиты для функции защиты папок общего доступа от внешнего шифрования;</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настраивать разные наборы компонентов для разных типов операционных систем в инсталляционном пакете;</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выбирать предустановленные исключения из проверки и доверенные приложения;</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возможность блокировать сетевые соединения по устаревшему протоколу TLS 1.0;</w:t>
      </w:r>
    </w:p>
    <w:p>
      <w:pPr>
        <w:pStyle w:val="ListParagraph"/>
        <w:widowControl/>
        <w:numPr>
          <w:ilvl w:val="0"/>
          <w:numId w:val="9"/>
        </w:numPr>
        <w:tabs>
          <w:tab w:val="clear" w:pos="708"/>
          <w:tab w:val="left" w:pos="675" w:leader="none"/>
        </w:tabs>
        <w:suppressAutoHyphens w:val="false"/>
        <w:bidi w:val="0"/>
        <w:spacing w:lineRule="auto" w:line="240" w:before="0" w:after="0"/>
        <w:ind w:hanging="0" w:left="0" w:right="0"/>
        <w:jc w:val="both"/>
        <w:textAlignment w:val="baseline"/>
        <w:rPr/>
      </w:pPr>
      <w:r>
        <w:rPr>
          <w:rFonts w:cs="Times New Roman"/>
          <w:sz w:val="22"/>
        </w:rPr>
        <w:t xml:space="preserve">   </w:t>
      </w:r>
      <w:r>
        <w:rPr>
          <w:rFonts w:cs="Times New Roman"/>
          <w:sz w:val="22"/>
        </w:rPr>
        <w:t>централизованное управление всеми вышеуказанными компонентами с помощью единой системы управления.</w:t>
      </w:r>
    </w:p>
    <w:p>
      <w:pPr>
        <w:pStyle w:val="Heading1"/>
        <w:numPr>
          <w:ilvl w:val="0"/>
          <w:numId w:val="0"/>
        </w:numPr>
        <w:shd w:val="clear" w:color="auto" w:fill="FFFFFF" w:themeFill="background1"/>
        <w:ind w:hanging="0" w:left="720"/>
        <w:jc w:val="both"/>
        <w:rPr>
          <w:rFonts w:ascii="Times New Roman" w:hAnsi="Times New Roman" w:eastAsia="Calibri" w:cs="Times New Roman" w:eastAsiaTheme="minorHAnsi"/>
          <w:color w:val="auto"/>
          <w:sz w:val="22"/>
          <w:szCs w:val="22"/>
        </w:rPr>
      </w:pPr>
      <w:bookmarkStart w:id="21" w:name="_Toc213673501"/>
      <w:bookmarkStart w:id="22" w:name="_Toc196895904"/>
      <w:r>
        <w:rPr>
          <w:rFonts w:eastAsia="Calibri" w:cs="Times New Roman" w:eastAsiaTheme="minorHAnsi"/>
          <w:color w:val="auto"/>
          <w:sz w:val="22"/>
          <w:szCs w:val="22"/>
        </w:rPr>
        <w:t>Требования к программным средствам антивирусной защиты для рабочих станций Mac</w:t>
      </w:r>
      <w:bookmarkEnd w:id="21"/>
      <w:bookmarkEnd w:id="22"/>
    </w:p>
    <w:p>
      <w:pPr>
        <w:pStyle w:val="Normal"/>
        <w:spacing w:lineRule="auto" w:line="240"/>
        <w:jc w:val="both"/>
        <w:rPr>
          <w:rFonts w:ascii="Times New Roman" w:hAnsi="Times New Roman" w:cs="Times New Roman"/>
          <w:sz w:val="22"/>
        </w:rPr>
      </w:pPr>
      <w:r>
        <w:rPr>
          <w:rFonts w:cs="Times New Roman" w:ascii="Times New Roman" w:hAnsi="Times New Roman"/>
          <w:sz w:val="22"/>
        </w:rPr>
        <w:t>Средства антивирусной защиты для рабочих станций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для рабочих станций Mac должны функционировать на компьютерах, работающих под управлением операционных систем следующих версий:</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операционная система MacOS® 12, 13 или 14.</w:t>
      </w:r>
    </w:p>
    <w:p>
      <w:pPr>
        <w:pStyle w:val="Normal"/>
        <w:spacing w:lineRule="auto" w:line="240" w:before="0" w:after="0"/>
        <w:jc w:val="both"/>
        <w:rPr/>
      </w:pPr>
      <w:r>
        <w:rPr/>
      </w:r>
    </w:p>
    <w:p>
      <w:pPr>
        <w:pStyle w:val="Normal"/>
        <w:spacing w:lineRule="auto" w:line="240" w:before="0" w:after="0"/>
        <w:jc w:val="both"/>
        <w:rPr/>
      </w:pPr>
      <w:r>
        <w:rPr>
          <w:rFonts w:cs="Times New Roman" w:ascii="Times New Roman" w:hAnsi="Times New Roman"/>
          <w:sz w:val="22"/>
        </w:rPr>
        <w:t>Программные средства антивирусной защиты для рабочих станций и серверов Linux должны обеспечивать реализацию следующих функциональных возможностей:</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поддержка определенных ролей для программного изделия и их ассоциации с конкретными администраторами безопасности, администраторами серверов и пользователями ИС.</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(ролям) управлять режимом выполнения функций безопасности САВЗ.</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(ролям) управлять параметрами настройки функций</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безопасности САВЗ.</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получение и установка обновлений БД ПКВ без применения средств автоматизации, в автоматизированном режиме с сетевого ресурса, автоматически через сетевые подключения.</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генерация записи аудита для событий, подвергаемых аудиту;</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чтение информации из записей аудита;</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ассоциация событий аудита с идентификаторами субъектов;</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ограничение доступа к чтению записей аудита;</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поиск, сортировка, упорядочение данных аудита.</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выполнение проверки с целью обнаружения зараженных объектов;</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в режиме реального времени в файлах, полученных по каналам передачи данных;</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выполнение проверки с целью обнаружения зараженных объектов по команде, в режиме динамического обнаружения в процессе выполнения операций доступа к объектам, путем запуска с необходимыми параметрами функционирования своего кода внешней программой;</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выполнение проверки с целью обнаружения зараженных объектов сигнатурными и эвристическими методами;</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удаление (если удаление технически возможно) кода вредоносных компьютерных программ (вирусов) из зараженных объектов;</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блокирование доступа к зараженным файлам, в том числе полученным по каналам передачи данных, активных компьютерных вирусов;</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предоставление возможности блокирования сервера, на котором обнаружены зараженные файлы;</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восстановление функциональных свойств зараженных объектов;</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возможность отображения сигнала тревоги на АРМ администратора;</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возможность контроля доступа к веб-ресурсам;</w:t>
      </w:r>
    </w:p>
    <w:p>
      <w:pPr>
        <w:pStyle w:val="ListParagraph"/>
        <w:numPr>
          <w:ilvl w:val="0"/>
          <w:numId w:val="13"/>
        </w:numPr>
        <w:suppressAutoHyphens w:val="false"/>
        <w:spacing w:lineRule="auto" w:line="240"/>
        <w:jc w:val="both"/>
        <w:rPr>
          <w:rFonts w:ascii="Times New Roman" w:hAnsi="Times New Roman" w:cs="Times New Roman"/>
          <w:sz w:val="22"/>
        </w:rPr>
      </w:pPr>
      <w:r>
        <w:rPr>
          <w:rFonts w:cs="Times New Roman"/>
          <w:sz w:val="22"/>
        </w:rPr>
        <w:t>возможность контроля целостности компонентов программного изделия.</w:t>
      </w:r>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Кроме того, программные средства антивирусной защиты для рабочих Mac должны обеспечивать реализацию следующих функциональных возможностей, не требующих сертификацию ФСТЭК:</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 xml:space="preserve">облачная защита от новых угроз, позволяющая приложению в режиме реального времени обращаться к специальным ресурсам производителя, для получения вердикта по запускаемой программе или файлу; </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резервное копирование зараженных файлов перед их удалением, для возможности восстановления;</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эвристический анализатор, позволяющий распознавать и блокировать ранее неизвестные вредоносные программы;</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блокировка вредоносных и фишинговых сайтов на основе вердиктов репутационных облачных сервисов производителя антивирусных средств защиты;</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проверку сетевого трафика, передаваемого через браузеры Safari, Google Chrome и Firefox (HTTP и HTTPS трафик);</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контроль работы пользователя с сетью Интернет, в том числе добавления, редактирования категорий, включение явного запрета или разрешения доступа к определенным ресурсам или категорий ресурсов, созданных и динамически обновляемых производителем</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ускорения процесса сканирования за счет пропуска объектов, состояние которых со времени прошлой проверки не изменилось;</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возможность управлять шифрованием FileVault;</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возможность задавать исключения при проверке указанных областей на уровне перехватов файловых операций;</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ограничивать загрузку процессора приложением при выполнении задач поиска вредоносного ПО;</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r>
        <w:rPr>
          <w:rFonts w:cs="Times New Roman"/>
          <w:sz w:val="22"/>
        </w:rPr>
        <w:t>включения облачного режима и использования облегченной версии баз вредоносного ПО, для снижения нагрузки на ресурсы операционной системы;</w:t>
      </w:r>
    </w:p>
    <w:p>
      <w:pPr>
        <w:pStyle w:val="ListParagraph"/>
        <w:widowControl/>
        <w:numPr>
          <w:ilvl w:val="0"/>
          <w:numId w:val="22"/>
        </w:numPr>
        <w:shd w:val="clear" w:color="auto" w:fill="FFFFFF" w:themeFill="background1"/>
        <w:suppressAutoHyphens w:val="false"/>
        <w:bidi w:val="0"/>
        <w:spacing w:lineRule="auto" w:line="259" w:before="0" w:after="0"/>
        <w:ind w:hanging="737" w:left="737" w:right="0"/>
        <w:jc w:val="both"/>
        <w:textAlignment w:val="baseline"/>
        <w:rPr/>
      </w:pPr>
      <w:bookmarkStart w:id="23" w:name="_Hlk117023925"/>
      <w:r>
        <w:rPr>
          <w:rFonts w:cs="Times New Roman"/>
          <w:sz w:val="22"/>
        </w:rPr>
        <w:t>пропускать сканирование системного тома, доступного только для чтения, во время выполнения задач проверки по требованию;</w:t>
      </w:r>
      <w:bookmarkEnd w:id="23"/>
    </w:p>
    <w:p>
      <w:pPr>
        <w:pStyle w:val="ListParagraph"/>
        <w:widowControl/>
        <w:numPr>
          <w:ilvl w:val="0"/>
          <w:numId w:val="22"/>
        </w:numPr>
        <w:suppressAutoHyphens w:val="false"/>
        <w:bidi w:val="0"/>
        <w:spacing w:lineRule="auto" w:line="259" w:before="0" w:after="0"/>
        <w:ind w:hanging="737" w:left="737" w:right="0"/>
        <w:jc w:val="both"/>
        <w:textAlignment w:val="baseline"/>
        <w:rPr/>
      </w:pPr>
      <w:r>
        <w:rPr>
          <w:rFonts w:cs="Times New Roman"/>
          <w:sz w:val="22"/>
        </w:rPr>
        <w:t>анализировать активность приложений в операционной системе с использованием шаблонов опасного поведения (BSS);</w:t>
      </w:r>
    </w:p>
    <w:p>
      <w:pPr>
        <w:pStyle w:val="ListParagraph"/>
        <w:widowControl/>
        <w:numPr>
          <w:ilvl w:val="0"/>
          <w:numId w:val="22"/>
        </w:numPr>
        <w:suppressAutoHyphens w:val="false"/>
        <w:bidi w:val="0"/>
        <w:spacing w:lineRule="auto" w:line="259" w:before="0" w:after="0"/>
        <w:ind w:hanging="737" w:left="737" w:right="0"/>
        <w:jc w:val="both"/>
        <w:textAlignment w:val="baseline"/>
        <w:rPr/>
      </w:pPr>
      <w:r>
        <w:rPr>
          <w:rFonts w:cs="Times New Roman"/>
          <w:sz w:val="22"/>
        </w:rPr>
        <w:t>установки из файла .pkg через JAMF;</w:t>
      </w:r>
    </w:p>
    <w:p>
      <w:pPr>
        <w:pStyle w:val="ListParagraph"/>
        <w:widowControl/>
        <w:numPr>
          <w:ilvl w:val="0"/>
          <w:numId w:val="22"/>
        </w:numPr>
        <w:suppressAutoHyphens w:val="false"/>
        <w:bidi w:val="0"/>
        <w:spacing w:lineRule="auto" w:line="259" w:before="0" w:after="0"/>
        <w:ind w:hanging="737" w:left="737" w:right="0"/>
        <w:jc w:val="both"/>
        <w:textAlignment w:val="baseline"/>
        <w:rPr/>
      </w:pPr>
      <w:r>
        <w:rPr>
          <w:rFonts w:cs="Times New Roman"/>
          <w:sz w:val="22"/>
        </w:rPr>
        <w:t>автоматическое сканирование внешних дисков при их подключении;</w:t>
      </w:r>
    </w:p>
    <w:p>
      <w:pPr>
        <w:pStyle w:val="ListParagraph"/>
        <w:widowControl/>
        <w:numPr>
          <w:ilvl w:val="0"/>
          <w:numId w:val="22"/>
        </w:numPr>
        <w:suppressAutoHyphens w:val="false"/>
        <w:bidi w:val="0"/>
        <w:spacing w:lineRule="auto" w:line="276" w:before="0" w:after="0"/>
        <w:ind w:hanging="737" w:left="737" w:right="0"/>
        <w:jc w:val="both"/>
        <w:textAlignment w:val="baseline"/>
        <w:rPr/>
      </w:pPr>
      <w:r>
        <w:rPr>
          <w:rFonts w:cs="Times New Roman"/>
          <w:sz w:val="22"/>
        </w:rPr>
        <w:t>поддержки клиентских сертификатов;</w:t>
      </w:r>
    </w:p>
    <w:p>
      <w:pPr>
        <w:pStyle w:val="ListParagraph"/>
        <w:widowControl/>
        <w:numPr>
          <w:ilvl w:val="0"/>
          <w:numId w:val="22"/>
        </w:numPr>
        <w:suppressAutoHyphens w:val="false"/>
        <w:bidi w:val="0"/>
        <w:spacing w:lineRule="auto" w:line="240" w:before="0" w:after="0"/>
        <w:ind w:hanging="737" w:left="737" w:right="0"/>
        <w:jc w:val="both"/>
        <w:textAlignment w:val="baseline"/>
        <w:rPr/>
      </w:pPr>
      <w:r>
        <w:rPr>
          <w:rFonts w:cs="Times New Roman"/>
          <w:sz w:val="22"/>
        </w:rPr>
        <w:t>централизованное управление всеми вышеуказанными компонентами с помощью единой системы управления.</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24" w:name="_Toc213673502"/>
      <w:bookmarkStart w:id="25" w:name="_Toc35803030"/>
      <w:r>
        <w:rPr>
          <w:rFonts w:eastAsia="Calibri" w:cs="Times New Roman" w:eastAsiaTheme="minorHAnsi"/>
          <w:color w:val="auto"/>
          <w:sz w:val="22"/>
          <w:szCs w:val="22"/>
        </w:rPr>
        <w:t>Требования к программным средствам антивирусной защиты для рабочих станций и серверов Linux</w:t>
      </w:r>
      <w:bookmarkEnd w:id="24"/>
      <w:bookmarkEnd w:id="25"/>
    </w:p>
    <w:p>
      <w:pPr>
        <w:pStyle w:val="Normal"/>
        <w:spacing w:lineRule="auto" w:line="240"/>
        <w:jc w:val="both"/>
        <w:rPr>
          <w:rFonts w:ascii="Times New Roman" w:hAnsi="Times New Roman" w:cs="Times New Roman"/>
          <w:sz w:val="22"/>
        </w:rPr>
      </w:pPr>
      <w:r>
        <w:rPr>
          <w:rFonts w:cs="Times New Roman" w:ascii="Times New Roman" w:hAnsi="Times New Roman"/>
          <w:sz w:val="22"/>
        </w:rPr>
        <w:t>Средства антивирусной защиты для рабочих станций и серверов Linux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В и Г не ниже второго класса защиты.</w:t>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для рабочих станций и серверов Linux должны функционировать на компьютерах, работающих под управлением 32-битных операционных систем следующих версий:</w:t>
      </w:r>
    </w:p>
    <w:p>
      <w:pPr>
        <w:pStyle w:val="ListParagraph"/>
        <w:numPr>
          <w:ilvl w:val="0"/>
          <w:numId w:val="15"/>
        </w:numPr>
        <w:suppressAutoHyphens w:val="false"/>
        <w:spacing w:lineRule="auto" w:line="240"/>
        <w:jc w:val="both"/>
        <w:rPr>
          <w:rFonts w:ascii="Times New Roman" w:hAnsi="Times New Roman" w:cs="Times New Roman"/>
          <w:sz w:val="22"/>
          <w:lang w:val="en-US"/>
        </w:rPr>
      </w:pPr>
      <w:r>
        <w:rPr>
          <w:rFonts w:cs="Times New Roman"/>
          <w:sz w:val="22"/>
          <w:lang w:val="en-US"/>
        </w:rPr>
        <w:t>Debian GNU/Linux® 11.0, Debian GNU/Linux 11.1, Debian GNU/Linux 11.2, Debian GNU/Linux</w:t>
      </w:r>
    </w:p>
    <w:p>
      <w:pPr>
        <w:pStyle w:val="ListParagraph"/>
        <w:numPr>
          <w:ilvl w:val="0"/>
          <w:numId w:val="15"/>
        </w:numPr>
        <w:suppressAutoHyphens w:val="false"/>
        <w:spacing w:lineRule="auto" w:line="240"/>
        <w:jc w:val="both"/>
        <w:rPr>
          <w:rFonts w:ascii="Times New Roman" w:hAnsi="Times New Roman" w:cs="Times New Roman"/>
          <w:sz w:val="22"/>
          <w:lang w:val="en-US"/>
        </w:rPr>
      </w:pPr>
      <w:r>
        <w:rPr>
          <w:rFonts w:cs="Times New Roman"/>
          <w:sz w:val="22"/>
          <w:lang w:val="en-US"/>
        </w:rPr>
        <w:t>11.3, Debian GNU/Linux 11.4, Debian GNU/Linux 11.5, Debian GNU/Linux 11.6, Debian GNU/Linux 11.7, Debian GNU/Linux 11.8, Debian GNU/Linux 11.9, Debian GNU/Linux 11.10, Debian GNU/Linux 11.11.</w:t>
      </w:r>
    </w:p>
    <w:p>
      <w:pPr>
        <w:pStyle w:val="ListParagraph"/>
        <w:numPr>
          <w:ilvl w:val="0"/>
          <w:numId w:val="15"/>
        </w:numPr>
        <w:suppressAutoHyphens w:val="false"/>
        <w:spacing w:lineRule="auto" w:line="240"/>
        <w:jc w:val="both"/>
        <w:rPr>
          <w:rFonts w:ascii="Times New Roman" w:hAnsi="Times New Roman" w:cs="Times New Roman"/>
          <w:sz w:val="22"/>
          <w:lang w:val="en-US"/>
        </w:rPr>
      </w:pPr>
      <w:r>
        <w:rPr>
          <w:rFonts w:cs="Times New Roman"/>
          <w:sz w:val="22"/>
          <w:lang w:val="en-US"/>
        </w:rPr>
        <w:t>Debian GNU/Linux 12.0, Debian GNU/Linux 12.1, Debian GNU/Linux 12.2, Debian GNU/Linux 12.3, Debian GNU/Linux 12.4, Debian GNU/Linux 12.5, Debian GNU/Linux 12.6, Debian GNU/Linux 12.7, Debian GNU/Linux 12.8.</w:t>
      </w:r>
    </w:p>
    <w:p>
      <w:pPr>
        <w:pStyle w:val="ListParagraph"/>
        <w:numPr>
          <w:ilvl w:val="0"/>
          <w:numId w:val="15"/>
        </w:numPr>
        <w:suppressAutoHyphens w:val="false"/>
        <w:spacing w:lineRule="auto" w:line="240"/>
        <w:jc w:val="both"/>
        <w:rPr>
          <w:rFonts w:ascii="Times New Roman" w:hAnsi="Times New Roman" w:cs="Times New Roman"/>
          <w:sz w:val="22"/>
        </w:rPr>
      </w:pPr>
      <w:r>
        <w:rPr>
          <w:rFonts w:cs="Times New Roman"/>
          <w:sz w:val="22"/>
        </w:rPr>
        <w:t>Mageia™ 4.</w:t>
      </w:r>
    </w:p>
    <w:p>
      <w:pPr>
        <w:pStyle w:val="ListParagraph"/>
        <w:numPr>
          <w:ilvl w:val="0"/>
          <w:numId w:val="15"/>
        </w:numPr>
        <w:suppressAutoHyphens w:val="false"/>
        <w:spacing w:lineRule="auto" w:line="240"/>
        <w:jc w:val="both"/>
        <w:rPr>
          <w:rFonts w:ascii="Times New Roman" w:hAnsi="Times New Roman" w:cs="Times New Roman"/>
          <w:sz w:val="22"/>
        </w:rPr>
      </w:pPr>
      <w:r>
        <w:rPr>
          <w:rFonts w:cs="Times New Roman"/>
          <w:sz w:val="22"/>
        </w:rPr>
        <w:t>Альт 8 СП Рабочая Станция (8.4) (сертификат ФСТЭК России № 3866).</w:t>
      </w:r>
    </w:p>
    <w:p>
      <w:pPr>
        <w:pStyle w:val="ListParagraph"/>
        <w:numPr>
          <w:ilvl w:val="0"/>
          <w:numId w:val="15"/>
        </w:numPr>
        <w:suppressAutoHyphens w:val="false"/>
        <w:spacing w:lineRule="auto" w:line="240"/>
        <w:jc w:val="both"/>
        <w:rPr>
          <w:rFonts w:ascii="Times New Roman" w:hAnsi="Times New Roman" w:cs="Times New Roman"/>
          <w:sz w:val="22"/>
        </w:rPr>
      </w:pPr>
      <w:bookmarkStart w:id="26" w:name="_Hlk100005046"/>
      <w:r>
        <w:rPr>
          <w:rFonts w:cs="Times New Roman"/>
          <w:sz w:val="22"/>
        </w:rPr>
        <w:t>Альт 8 СП Сервер (8.4) (сертификат ФСТЭК России № 3866).</w:t>
      </w:r>
      <w:bookmarkEnd w:id="26"/>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для рабочих станций и серверов Linux должны функционировать на компьютерах, работающих под управлением 64-битных операционных систем следующих версий:</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AlmaLinux OS 8.3, AlmaLinux OS 8.4, AlmaLinux OS 8.5, AlmaLinux OS 8.6, AlmaLinux OS 8.7,</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AlmaLinux OS 8.8, AlmaLinux OS 8.9, AlmaLinux OS 8.10.</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AlmaLinux OS 9.0, AlmaLinux OS 9.1, AlmaLinux OS 9.2, AlmaLinux OS 9.3, AlmaLinux OS 9.4.</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AlterOS® 7.5 (сертификат ФСТЭК России № 4394).</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Amazon™ Linux 2.</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Astra Linux Common Edition 2.12.</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Операционная система специального назначения «Astra Linux Special Edition» РУСБ.10015-</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0156 (включая режим замкнутой программной среды и мандатный режим)(сертификат ФСТЭК России № 2557).</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CentOS 7.2, CentOS 7.3, CentOS 7.4, CentOS 7.5, CentOS 7.6, CentOS 7.7, CentOS 7.8, CentOS 7.9.</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CentOS Stream 8.</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CentOS Stream 9.</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Debian GNU/Linux 11.0, Debian GNU/Linux 11.1, Debian GNU/Linux 11.2, Debian GNU/Linux 11.3, Debian GNU/Linux 11.4, Debian GNU/Linux 11.5, Debian GNU/Linux 11.6, Debian GNU/Linux 11.7, Debian GNU/Linux 11.8, Debian GNU/Linux 11.9, Debian GNU/Linux 11.10, Debian GNU/Linux 11.11.</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Debian GNU/Linux 12.0, Debian GNU/Linux 12.1, Debian GNU/Linux 12.2, Debian GNU/Linux 12.3, Debian GNU/Linux 12.4, Debian GNU/Linux 12.5, Debian GNU/Linux 12.6, Debian GNU/Linux 12.7, Debian GNU/Linux 12.8.</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EMIAS 1.0 (сертификат ФСТЭК России № 3807).</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EulerOS 2.0 SP10.</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Fedora Linux 41.</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Kylin 10.</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Linux Mint 21.1, Linux Mint 21.2, Linux Mint 21.3.</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Linux Mint 22.</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Mostech 12.</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openSUSE Leap 15.0, openSUSE Leap 15.1, openSUSE Leap 15.2, openSUSE Leap 15.3, openSUSE Leap 15.4, openSUSE Leap 15.5, openSUSE Leap 15.6.</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Oracle® Linux 7.3, Oracle Linux 7.4, Oracle Linux 7.5, Oracle Linux 7.6, Oracle Linux 7.7, Oracle</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Linux 7.8, Oracle Linux 7.9.</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Oracle Linux 8.0, Oracle Linux 8.1, Oracle Linux 8.2, Oracle Linux 8.3, Oracle Linux 8.4, Oracle Linux 8.5, Oracle Linux 8.6, Oracle Linux 8.7, Oracle Linux 8.8, Oracle Linux 8.9, Oracle Linux 8.10.</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Oracle Linux 9.0, Oracle Linux 9.1, Oracle Linux 9.2, Oracle Linux 9.3, Oracle Linux 9.4.</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Red Hat Enterprise Linux 7.2, Red Hat Enterprise Linux 7.3, Red Hat Enterprise Linux 7.4, Red Hat</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Enterprise Linux 7.5, Red Hat Enterprise Linux 7.6, Red Hat Enterprise Linux 7.7, Red Hat Enterprise Linux 7.8, Red Hat Enterprise Linux 7.9.</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Red Hat Enterprise Linux 8.0, Red Hat Enterprise Linux 8.1, Red Hat Enterprise Linux 8.2, Red Hat Enterprise Linux 8.3, Red Hat Enterprise Linux 8.4, Red Hat Enterprise Linux 8.5, Red Hat Enterprise Linux 8.6, Red Hat Enterprise Linux 8.7, Red Hat Enterprise Linux 8.8, Red Hat Enterprise Linux 8.9, Red Hat Enterprise Linux 8.10.</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Red Hat Enterprise Linux 9.0, Red Hat Enterprise Linux 9.1, Red Hat Enterprise Linux 9.2, Red Hat</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Enterprise Linux 9.3, Red Hat Enterprise Linux 9.4.</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Rocky Linux 8.5, Rocky Linux 8.6, Rocky Linux 8.7, Rocky Linux 8.8, Rocky Linux 8.9, Rocky Linux</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8.10.</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Rocky Linux 9.1, Rocky Linux 9.2, Rocky Linux 9.3, Rocky Linux 9.4.</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SberLinux 9.0.1 (сертификат ФСТЭК России № 4884).</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SberOS 3.3.3.</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SUSE Linux Enterprise Server 12.5.</w:t>
      </w:r>
    </w:p>
    <w:p>
      <w:pPr>
        <w:pStyle w:val="ListParagraph"/>
        <w:numPr>
          <w:ilvl w:val="0"/>
          <w:numId w:val="16"/>
        </w:numPr>
        <w:suppressAutoHyphens w:val="false"/>
        <w:spacing w:lineRule="auto" w:line="240"/>
        <w:jc w:val="both"/>
        <w:rPr>
          <w:rFonts w:ascii="Times New Roman" w:hAnsi="Times New Roman" w:cs="Times New Roman"/>
          <w:sz w:val="22"/>
          <w:lang w:val="en-US"/>
        </w:rPr>
      </w:pPr>
      <w:r>
        <w:rPr>
          <w:rFonts w:cs="Times New Roman"/>
          <w:sz w:val="22"/>
          <w:lang w:val="en-US"/>
        </w:rPr>
        <w:t>SUSE Linux Enterprise Server 15, SUSE Linux Enterprise Server 15.1, SUSE Linux Enterprise Server 15.2, SUSE Linux Enterprise Server 15.3, SUSE Linux Enterprise Server 15.4, SUSE Linux Enterprise Server 15.5, SUSE Linux Enterprise Server 15.6.</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Ubuntu® 22.04 LTS.</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Ubuntu 24.04 LTS.</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Альт 8 СП Рабочая станция (8.4) (сертификат ФСТЭК России № 3866).</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Альт 8 СП Сервер (8.4) (сертификат ФСТЭК России № 3866).</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Альт Образование 10.1.</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Альт СП Рабочая Станция релиз 10 (сертификат ФСТЭК России № 3866).</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Альт СП Рабочая Станция релиз 10.2 (сертификат ФСТЭК России № 3866).</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Альт СП Сервер релиз 10 (сертификат ФСТЭК России № 3866).</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Альт СП Сервер релиз 10.2.</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Атлант, сборка Alcyone, версия 2022.02.</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Гослинукс 7.17 (сертификат ФСТЭК России № 4072).</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Гослинукс 7.2 (сертификат ФСТЭК России № 4072).</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МОС 12 Cервер (сертификат ФСТЭК России № 4836).</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ОС МЭШ 12 Для всех пользователей (без телеметрии и без поддержки ДИТ).</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ОС МЭШ 12 Для московских школ для интерактивных панелей (с телеметрией и поддержкой</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ДИТ).</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ОС МЭШ 12 Для московских школ для компьютеров и ноутбуков (с телеметрией и поддержкой ДИТ).</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МОС ОС 15.4 Арбат.</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МСВСФЕРА АРМ 9.2, МСВСФЕРА АРМ 9.3, МСВСФЕРА АРМ 9.4, МСВСФЕРА АРМ 9.5.</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МСВСФЕРА СЕРВЕР 9.2, МСВСФЕРА СЕРВЕР 9.3, МСВСФЕРА СЕРВЕР 9.4, МСВСФЕРА СЕРВЕР 9.5.</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ОСнова 2.9, ОСнова 2.10 (сертификат ФСТЭК России № 4381).</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РЕД ОС® 7.3 (сертификат ФСТЭК России № 4060).</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РЕД ОС 8.0.</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РОСА "Кобальт" 7.9 (сертификат ФСТЭК России № 4039).</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РОСА "Хром" 12 (сертификат ФСТЭК России № 4818).</w:t>
      </w:r>
    </w:p>
    <w:p>
      <w:pPr>
        <w:pStyle w:val="ListParagraph"/>
        <w:numPr>
          <w:ilvl w:val="0"/>
          <w:numId w:val="16"/>
        </w:numPr>
        <w:suppressAutoHyphens w:val="false"/>
        <w:spacing w:lineRule="auto" w:line="240"/>
        <w:jc w:val="both"/>
        <w:rPr>
          <w:rFonts w:ascii="Times New Roman" w:hAnsi="Times New Roman" w:cs="Times New Roman"/>
          <w:sz w:val="22"/>
        </w:rPr>
      </w:pPr>
      <w:r>
        <w:rPr>
          <w:rFonts w:cs="Times New Roman"/>
          <w:sz w:val="22"/>
        </w:rPr>
        <w:t>СинтезМ-Клиент 8.6 (сертификат ФСТЭК России № 4399).</w:t>
      </w:r>
    </w:p>
    <w:p>
      <w:pPr>
        <w:pStyle w:val="ListParagraph"/>
        <w:numPr>
          <w:ilvl w:val="0"/>
          <w:numId w:val="16"/>
        </w:numPr>
        <w:suppressAutoHyphens w:val="false"/>
        <w:spacing w:lineRule="auto" w:line="240"/>
        <w:jc w:val="both"/>
        <w:rPr>
          <w:rFonts w:ascii="Times New Roman" w:hAnsi="Times New Roman" w:cs="Times New Roman"/>
          <w:sz w:val="22"/>
        </w:rPr>
      </w:pPr>
      <w:bookmarkStart w:id="27" w:name="_Hlk100005076"/>
      <w:r>
        <w:rPr>
          <w:rFonts w:cs="Times New Roman"/>
          <w:sz w:val="22"/>
        </w:rPr>
        <w:t>СинтезМ-Сервер 8.6 (сертификат ФСТЭК России № 4399).</w:t>
      </w:r>
      <w:bookmarkEnd w:id="27"/>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для рабочих станций и серверов Linux должны обеспечивать реализацию следующих функциональных возможностей:</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(ролям) управлять режимом выполнения функций</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безопасности САВЗ;</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(ролям) управлять параметрами настройки функций</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безопасности САВЗ;</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получение и установку обновлений в автоматизированном режиме, в том числе с сетевого ресурса;</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получение и установку обновлений без применения средств автоматизации;</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генерацию записи аудита для событий, подвергаемых аудиту;</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чтение информации из записей аудита;</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ассоциацию событий аудита с идентификаторами субъектов;</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ограничение доступа к чтению записей аудита;</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поиск, сортировку, упорядочение данных аудита;</w:t>
      </w:r>
    </w:p>
    <w:p>
      <w:pPr>
        <w:pStyle w:val="ListParagraph"/>
        <w:widowControl/>
        <w:numPr>
          <w:ilvl w:val="0"/>
          <w:numId w:val="17"/>
        </w:numPr>
        <w:suppressAutoHyphens w:val="false"/>
        <w:bidi w:val="0"/>
        <w:spacing w:lineRule="auto" w:line="240" w:before="0" w:after="0"/>
        <w:ind w:hanging="737" w:left="737" w:right="0"/>
        <w:jc w:val="both"/>
        <w:textAlignment w:val="baseline"/>
        <w:rPr>
          <w:rFonts w:ascii="Times New Roman" w:hAnsi="Times New Roman" w:cs="Times New Roman"/>
          <w:sz w:val="22"/>
        </w:rPr>
      </w:pPr>
      <w:r>
        <w:rPr>
          <w:rFonts w:cs="Times New Roman"/>
          <w:sz w:val="22"/>
        </w:rPr>
        <w:t>выполнение проверок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pPr>
        <w:pStyle w:val="ListParagraph"/>
        <w:widowControl/>
        <w:numPr>
          <w:ilvl w:val="0"/>
          <w:numId w:val="17"/>
        </w:numPr>
        <w:suppressAutoHyphens w:val="false"/>
        <w:bidi w:val="0"/>
        <w:spacing w:lineRule="auto" w:line="240" w:before="0" w:after="0"/>
        <w:ind w:hanging="680" w:left="680" w:right="0"/>
        <w:jc w:val="both"/>
        <w:textAlignment w:val="baseline"/>
        <w:rPr>
          <w:rFonts w:ascii="Times New Roman" w:hAnsi="Times New Roman" w:cs="Times New Roman"/>
          <w:sz w:val="22"/>
        </w:rPr>
      </w:pPr>
      <w:r>
        <w:rPr>
          <w:rFonts w:cs="Times New Roman"/>
          <w:sz w:val="22"/>
        </w:rPr>
        <w:t>выполнение проверок с целью обнаружения зараженных объектов в режиме реального времени в файлах, полученных по каналам передачи данных;</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по команде;</w:t>
      </w:r>
    </w:p>
    <w:p>
      <w:pPr>
        <w:pStyle w:val="ListParagraph"/>
        <w:widowControl/>
        <w:numPr>
          <w:ilvl w:val="0"/>
          <w:numId w:val="17"/>
        </w:numPr>
        <w:suppressAutoHyphens w:val="false"/>
        <w:bidi w:val="0"/>
        <w:spacing w:lineRule="auto" w:line="240" w:before="0" w:after="0"/>
        <w:ind w:hanging="680" w:left="680" w:right="0"/>
        <w:jc w:val="both"/>
        <w:textAlignment w:val="baseline"/>
        <w:rPr>
          <w:rFonts w:ascii="Times New Roman" w:hAnsi="Times New Roman" w:cs="Times New Roman"/>
          <w:sz w:val="22"/>
        </w:rPr>
      </w:pPr>
      <w:r>
        <w:rPr>
          <w:rFonts w:cs="Times New Roman"/>
          <w:sz w:val="22"/>
        </w:rPr>
        <w:t>выполнение проверок с целью обнаружения зараженных объектов в режиме динамического обнаружения в процессе выполнения операций доступа к объектам;</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выполнение проверок с целью обнаружения зараженных объектов сигнатурными и эвристическими методами;</w:t>
      </w:r>
    </w:p>
    <w:p>
      <w:pPr>
        <w:pStyle w:val="ListParagraph"/>
        <w:widowControl/>
        <w:numPr>
          <w:ilvl w:val="0"/>
          <w:numId w:val="17"/>
        </w:numPr>
        <w:suppressAutoHyphens w:val="false"/>
        <w:bidi w:val="0"/>
        <w:spacing w:lineRule="auto" w:line="240" w:before="0" w:after="0"/>
        <w:ind w:hanging="680" w:left="680" w:right="0"/>
        <w:jc w:val="both"/>
        <w:textAlignment w:val="baseline"/>
        <w:rPr>
          <w:rFonts w:ascii="Times New Roman" w:hAnsi="Times New Roman" w:cs="Times New Roman"/>
          <w:sz w:val="22"/>
        </w:rPr>
      </w:pPr>
      <w:r>
        <w:rPr>
          <w:rFonts w:cs="Times New Roman"/>
          <w:sz w:val="22"/>
        </w:rPr>
        <w:t>удаление (если удаление технически возможно) вредоносного кода из оперативной памяти, удаления файлов, в которых обнаружен вредоносный код, а также файлов, с подозрением на наличие вредоносного кода;</w:t>
      </w:r>
    </w:p>
    <w:p>
      <w:pPr>
        <w:pStyle w:val="ListParagraph"/>
        <w:widowControl/>
        <w:numPr>
          <w:ilvl w:val="0"/>
          <w:numId w:val="17"/>
        </w:numPr>
        <w:suppressAutoHyphens w:val="false"/>
        <w:bidi w:val="0"/>
        <w:spacing w:lineRule="auto" w:line="240" w:before="0" w:after="0"/>
        <w:ind w:hanging="680" w:left="680" w:right="0"/>
        <w:jc w:val="both"/>
        <w:textAlignment w:val="baseline"/>
        <w:rPr>
          <w:rFonts w:ascii="Times New Roman" w:hAnsi="Times New Roman" w:cs="Times New Roman"/>
          <w:sz w:val="22"/>
        </w:rPr>
      </w:pPr>
      <w:r>
        <w:rPr>
          <w:rFonts w:cs="Times New Roman"/>
          <w:sz w:val="22"/>
        </w:rPr>
        <w:t>возможность перемещения и изолирования зараженных объектов, удаления вредоносного кода из файлов и системных областей носителей информации;</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возможность блокирования АРМ и серверов, на которых обнаружены зараженные файлы;</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возможность восстановления функциональных свойств зараженных объектов;</w:t>
      </w:r>
    </w:p>
    <w:p>
      <w:pPr>
        <w:pStyle w:val="ListParagraph"/>
        <w:numPr>
          <w:ilvl w:val="0"/>
          <w:numId w:val="17"/>
        </w:numPr>
        <w:suppressAutoHyphens w:val="false"/>
        <w:spacing w:lineRule="auto" w:line="240"/>
        <w:jc w:val="both"/>
        <w:rPr>
          <w:rFonts w:ascii="Times New Roman" w:hAnsi="Times New Roman" w:cs="Times New Roman"/>
          <w:sz w:val="22"/>
        </w:rPr>
      </w:pPr>
      <w:r>
        <w:rPr>
          <w:rFonts w:cs="Times New Roman"/>
          <w:sz w:val="22"/>
        </w:rPr>
        <w:t>отображение сигнала тревоги об обнаружении вредоносных объектов.</w:t>
      </w:r>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Кроме того, программные средства антивирусной защиты для рабочих станций и серверов Linux должны обеспечивать реализацию следующих функциональных возможностей, не требующих сертификацию ФСТЭК:</w:t>
      </w:r>
    </w:p>
    <w:p>
      <w:pPr>
        <w:pStyle w:val="ListParagraph"/>
        <w:numPr>
          <w:ilvl w:val="0"/>
          <w:numId w:val="8"/>
        </w:numPr>
        <w:suppressAutoHyphens w:val="false"/>
        <w:spacing w:lineRule="auto" w:line="240"/>
        <w:jc w:val="both"/>
        <w:rPr/>
      </w:pPr>
      <w:r>
        <w:rPr>
          <w:rFonts w:cs="Times New Roman"/>
          <w:sz w:val="22"/>
        </w:rPr>
        <w:t>резидентного антивирусного мониторинга;</w:t>
      </w:r>
    </w:p>
    <w:p>
      <w:pPr>
        <w:pStyle w:val="ListParagraph"/>
        <w:numPr>
          <w:ilvl w:val="0"/>
          <w:numId w:val="8"/>
        </w:numPr>
        <w:suppressAutoHyphens w:val="false"/>
        <w:spacing w:lineRule="auto" w:line="240"/>
        <w:jc w:val="both"/>
        <w:rPr/>
      </w:pPr>
      <w:r>
        <w:rPr>
          <w:rFonts w:cs="Times New Roman"/>
          <w:sz w:val="22"/>
        </w:rPr>
        <w:t>облачной защиты от новых угроз, позволяющей приложению в режиме реального времени обращаться к специальным ресурсам производителя, для получения вердикта по запускаемой программе или файлу;</w:t>
      </w:r>
    </w:p>
    <w:p>
      <w:pPr>
        <w:pStyle w:val="ListParagraph"/>
        <w:numPr>
          <w:ilvl w:val="0"/>
          <w:numId w:val="8"/>
        </w:numPr>
        <w:suppressAutoHyphens w:val="false"/>
        <w:spacing w:lineRule="auto" w:line="240"/>
        <w:jc w:val="both"/>
        <w:rPr/>
      </w:pPr>
      <w:r>
        <w:rPr>
          <w:rFonts w:cs="Times New Roman"/>
          <w:sz w:val="22"/>
        </w:rPr>
        <w:t>проверку ресурсов доступных по SMB / NFS;</w:t>
      </w:r>
    </w:p>
    <w:p>
      <w:pPr>
        <w:pStyle w:val="ListParagraph"/>
        <w:numPr>
          <w:ilvl w:val="0"/>
          <w:numId w:val="8"/>
        </w:numPr>
        <w:suppressAutoHyphens w:val="false"/>
        <w:spacing w:lineRule="auto" w:line="240"/>
        <w:jc w:val="both"/>
        <w:rPr/>
      </w:pPr>
      <w:r>
        <w:rPr>
          <w:rFonts w:cs="Times New Roman"/>
          <w:sz w:val="22"/>
        </w:rPr>
        <w:t>эвристический анализатор, позволяющий более эффективно распознавать и блокировать ранее неизвестные вредоносные программы;</w:t>
      </w:r>
    </w:p>
    <w:p>
      <w:pPr>
        <w:pStyle w:val="ListParagraph"/>
        <w:numPr>
          <w:ilvl w:val="0"/>
          <w:numId w:val="8"/>
        </w:numPr>
        <w:suppressAutoHyphens w:val="false"/>
        <w:spacing w:lineRule="auto" w:line="240"/>
        <w:jc w:val="both"/>
        <w:rPr/>
      </w:pPr>
      <w:r>
        <w:rPr>
          <w:rFonts w:cs="Times New Roman"/>
          <w:sz w:val="22"/>
        </w:rPr>
        <w:t>антивирусное сканирование по команде пользователя или администратора и по расписанию;</w:t>
      </w:r>
    </w:p>
    <w:p>
      <w:pPr>
        <w:pStyle w:val="ListParagraph"/>
        <w:numPr>
          <w:ilvl w:val="0"/>
          <w:numId w:val="8"/>
        </w:numPr>
        <w:suppressAutoHyphens w:val="false"/>
        <w:spacing w:lineRule="auto" w:line="240"/>
        <w:jc w:val="both"/>
        <w:rPr/>
      </w:pPr>
      <w:r>
        <w:rPr>
          <w:rFonts w:cs="Times New Roman"/>
          <w:sz w:val="22"/>
        </w:rPr>
        <w:t>антивирусную проверка файлов в архивах zip; .7z*; .7-z; .rar; .iso; .cab; .jar; .bz;.bz2;. tbz;.tbz2; .gz;.tgz; .arj.;</w:t>
      </w:r>
    </w:p>
    <w:p>
      <w:pPr>
        <w:pStyle w:val="ListParagraph"/>
        <w:numPr>
          <w:ilvl w:val="0"/>
          <w:numId w:val="8"/>
        </w:numPr>
        <w:suppressAutoHyphens w:val="false"/>
        <w:spacing w:lineRule="auto" w:line="240"/>
        <w:jc w:val="both"/>
        <w:rPr/>
      </w:pPr>
      <w:r>
        <w:rPr>
          <w:rFonts w:cs="Times New Roman"/>
          <w:sz w:val="22"/>
        </w:rPr>
        <w:t>проверку сообщений электронной почты в текстовом формате (Plain text);</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защиту файлов в локальных директориях с сетевым доступом по протоколам SMB / NFS от удаленного вредоносного шифрования;</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возможность включения опции блокирования файлов во время проверки;</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помещение подозрительных и поврежденных объектов на карантин;</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проверку почтовых баз приложений Microsoft Outlook на наличие вредоносных объектов;</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возможность перехвата и проверки файловых операций на уровне SAMBA;</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управление сетевым экраном операционной системы, с возможностью восстановления исходного состояния правил;</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запуск задач по расписанию и/или сразу после загрузки операционной системы;</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возможность экспортировать и сохранять отчеты в форматах HTML и CSV;</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возможность управления через пользовательский графический интерфейс без root прав;</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управления доступом пользователей к установленным или подключенным к компьютеру устройствам по типам устройства и шинам подключения;</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проверки съемных дисков;</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отслеживания во входящем сетевом трафике активности, характерной для сетевых атак</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проверки трафика, поступающего на компьютер пользователя по протоколам HTTP/HTTPS и FTP, а также возможность устанавливать принадлежность веб-адресов к вредоносным или фишинговым</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получения данных о действиях программ на компьютере пользователя;</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проверки памяти ядра;</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централизованное управление всеми вышеуказанными компонентами с помощью единой системы управления.</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28" w:name="_Toc213673503"/>
      <w:r>
        <w:rPr>
          <w:rFonts w:eastAsia="Calibri" w:cs="Times New Roman" w:eastAsiaTheme="minorHAnsi"/>
          <w:color w:val="auto"/>
          <w:sz w:val="22"/>
          <w:szCs w:val="22"/>
        </w:rPr>
        <w:t>Требования к программным средствам антивирусной защиты мобильных устройств</w:t>
      </w:r>
      <w:bookmarkEnd w:id="28"/>
    </w:p>
    <w:p>
      <w:pPr>
        <w:pStyle w:val="Normal"/>
        <w:spacing w:lineRule="auto" w:line="240"/>
        <w:jc w:val="both"/>
        <w:rPr>
          <w:rFonts w:ascii="Times New Roman" w:hAnsi="Times New Roman" w:cs="Times New Roman"/>
          <w:sz w:val="22"/>
        </w:rPr>
      </w:pPr>
      <w:r>
        <w:rPr>
          <w:rFonts w:cs="Times New Roman" w:ascii="Times New Roman" w:hAnsi="Times New Roman"/>
          <w:sz w:val="22"/>
        </w:rPr>
        <w:t>Средства антивирусной защиты мобильных устройств должны быть сертифицированы в соответствии с требованиями по безопасности информации, установленным в документах «Требования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(ФСТЭК России, 2020) - по 4 уровню доверия, «Требования к средствам антивирусной защиты (ФСТЭК России, 2012) и «Профиль защиты средств антивирусной защиты типа В четвертого класса защиты.</w:t>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для мобильных устройств должны функционировать на устройствах, работающих под управлением операционных систем Android™ следующих версий:</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5.0, 5.1;</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6.0;</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7.0, 7.1;</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8.0;</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9.0;</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10.0;</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11.0;</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12.0,12L;</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13.0;</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14.0;</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Android 15.0.</w:t>
      </w:r>
    </w:p>
    <w:p>
      <w:pPr>
        <w:pStyle w:val="ListParagraph"/>
        <w:spacing w:lineRule="auto" w:line="240"/>
        <w:jc w:val="both"/>
        <w:rPr>
          <w:rFonts w:ascii="Times New Roman" w:hAnsi="Times New Roman" w:cs="Times New Roman"/>
          <w:sz w:val="22"/>
        </w:rPr>
      </w:pPr>
      <w:r>
        <w:rPr>
          <w:rFonts w:cs="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антивирусной защиты для мобильных устройств должны обеспечивать реализацию следующих функциональных возможностей:</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поддержка определенных ролей для программного изделия и их ассоциации с конкретными администраторами безопасности и пользователями ИС.</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(ролям) управлять режимом выполнения функций безопасности САВЗ.</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возможность уполномоченным пользователям (ролям) управлять параметрами настройки функций безопасности САВЗ.</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возможность получения и установки обновлений без применения средств автоматизации.</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генерация записи аудита для событий, подвергаемых аудиту;</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чтение информации из записей аудита;</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ассоциация событий аудита с идентификаторами субъектов;</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ограничение доступа к чтению записей аудита;</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поиск, сортировка, упорядочение данных аудита;</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выполнение проверки с целью обнаружения признаков вредоносных программ и вирусов в файловых областях носителей информации;</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выполнение проверки с целью обнаружения зараженных объектов по команде администратора безопасности, пользователя ИС в режиме динамического обнаружения в процессе выполнения операций доступа к объектам;</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выполнение проверки с целью обнаружения зараженных КВ объектов сигнатурными и эвристическими методами;</w:t>
      </w:r>
    </w:p>
    <w:p>
      <w:pPr>
        <w:pStyle w:val="ListParagraph"/>
        <w:numPr>
          <w:ilvl w:val="0"/>
          <w:numId w:val="8"/>
        </w:numPr>
        <w:suppressAutoHyphens w:val="false"/>
        <w:spacing w:lineRule="auto" w:line="240"/>
        <w:jc w:val="both"/>
        <w:rPr>
          <w:rFonts w:ascii="Times New Roman" w:hAnsi="Times New Roman" w:cs="Times New Roman"/>
          <w:sz w:val="22"/>
        </w:rPr>
      </w:pPr>
      <w:r>
        <w:rPr>
          <w:rFonts w:cs="Times New Roman"/>
          <w:sz w:val="22"/>
        </w:rPr>
        <w:t>удаление (если удаление технически возможно) кода вредоносных компьютерных программ (вирусов) из зараженных объектов.</w:t>
      </w:r>
    </w:p>
    <w:p>
      <w:pPr>
        <w:pStyle w:val="Normal"/>
        <w:spacing w:lineRule="auto" w:line="240"/>
        <w:jc w:val="both"/>
        <w:rPr>
          <w:rFonts w:ascii="Times New Roman" w:hAnsi="Times New Roman" w:cs="Times New Roman"/>
          <w:sz w:val="22"/>
        </w:rPr>
      </w:pPr>
      <w:r>
        <w:rPr>
          <w:rFonts w:cs="Times New Roman" w:ascii="Times New Roman" w:hAnsi="Times New Roman"/>
          <w:sz w:val="22"/>
        </w:rPr>
        <w:t>Кроме того, программные средства антивирусной защиты для мобильных устройств должны обеспечивать реализацию следующих функциональных возможностей, не требующих сертификацию ФСТЭК:</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постоянная антивирусная защита файловой системы смартфона, с дополнительным уровнем проверки с использованием облачного репутационного сервиса производителя антивирусных средств защиты;</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 xml:space="preserve">проверка файловой системы устройства по требованию и по расписанию; </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мгновенная проверка устанавливаемых приложений</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блокировки вредоносных и фишинговых сайтов на основе вердиктов репутационных облачных сервисов производителя антивирусных средств защиты;</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наличие хранилища для изолирования зараженных объектов;</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обновление антивирусных баз, используемых при поиске вредоносных программ и удалении опасных объектов, по расписанию;</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блокировка запуска указанных приложений, в том числе с помощью заранее заданных категорий приложений;</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поддержка белых списков разрешенных приложений;</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блокировка системных приложений, в рамках контроля запуска приложений;</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отправки команд и push уведомлений через сервис Firebase Cloud Messaging (FCM);</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заблокировать wi-fi и bluetooth модули, а также использование камеры мобильного устройства;</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указать параметры подключения к wi-fi сетям;</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указать обязательные к установке приложения;</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блокировки мобильного устройства, удаление данных, удаление данных, связанных с рабочей деятельностью, получение координат местоположения устройства, удаленного возврата к заводским настройкам (factory reset);</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 удаления данных, запрета запуска корпоративных приложений при выявлении несоответствий;</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pPr>
      <w:r>
        <w:rPr>
          <w:rFonts w:cs="Times New Roman"/>
          <w:sz w:val="22"/>
        </w:rPr>
        <w:t>поддержка технологий Samsung KNOX1 и KNOX2;</w:t>
      </w:r>
    </w:p>
    <w:p>
      <w:pPr>
        <w:pStyle w:val="ListParagraph"/>
        <w:widowControl/>
        <w:numPr>
          <w:ilvl w:val="0"/>
          <w:numId w:val="23"/>
        </w:numPr>
        <w:shd w:val="clear" w:color="auto" w:fill="FFFFFF" w:themeFill="background1"/>
        <w:suppressAutoHyphens w:val="false"/>
        <w:bidi w:val="0"/>
        <w:spacing w:lineRule="auto" w:line="240" w:before="0" w:after="0"/>
        <w:ind w:hanging="737" w:left="737" w:right="0"/>
        <w:jc w:val="both"/>
        <w:textAlignment w:val="baseline"/>
        <w:rPr>
          <w:rFonts w:ascii="Times New Roman" w:hAnsi="Times New Roman" w:cs="Times New Roman"/>
          <w:sz w:val="22"/>
        </w:rPr>
      </w:pPr>
      <w:r>
        <w:rPr>
          <w:rFonts w:cs="Times New Roman"/>
          <w:sz w:val="22"/>
        </w:rPr>
        <w:t>указать разрешенные версии приложений при создании правил Контроля приложений для Android</w:t>
        <w:noBreakHyphen/>
        <w:t>устройств.</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29" w:name="_Toc35803032"/>
      <w:bookmarkStart w:id="30" w:name="_Toc213673504"/>
      <w:r>
        <w:rPr>
          <w:rFonts w:eastAsia="Calibri" w:cs="Times New Roman" w:eastAsiaTheme="minorHAnsi"/>
          <w:color w:val="auto"/>
          <w:sz w:val="22"/>
          <w:szCs w:val="22"/>
        </w:rPr>
        <w:t>Требования к программным средствам централизованного управления, мониторинга и обновления</w:t>
      </w:r>
      <w:bookmarkEnd w:id="29"/>
      <w:bookmarkEnd w:id="30"/>
    </w:p>
    <w:p>
      <w:pPr>
        <w:pStyle w:val="Normal"/>
        <w:spacing w:lineRule="auto" w:line="240"/>
        <w:jc w:val="both"/>
        <w:rPr>
          <w:rFonts w:ascii="Times New Roman" w:hAnsi="Times New Roman" w:cs="Times New Roman"/>
          <w:sz w:val="22"/>
        </w:rPr>
      </w:pPr>
      <w:r>
        <w:rPr>
          <w:rFonts w:cs="Times New Roman" w:ascii="Times New Roman" w:hAnsi="Times New Roman"/>
          <w:sz w:val="22"/>
        </w:rPr>
        <w:t>Средства централизованного управления, мониторинга и обновления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А не ниже второго класса защиты.</w:t>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Windows следующих версий:</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2012 R2 Server Core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2012 R2 Datacenter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2012 R2 Essentials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2012 R2 Foundation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2012 R2 Standard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2016 Datacenter (LTSB)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2016 Standard (LTSB)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lang w:val="en-US"/>
        </w:rPr>
        <w:t>Windows Server 2016 (</w:t>
      </w:r>
      <w:r>
        <w:rPr>
          <w:rFonts w:cs="Times New Roman"/>
          <w:sz w:val="22"/>
        </w:rPr>
        <w:t>вариант</w:t>
      </w:r>
      <w:r>
        <w:rPr>
          <w:rFonts w:cs="Times New Roman"/>
          <w:sz w:val="22"/>
          <w:lang w:val="en-US"/>
        </w:rPr>
        <w:t xml:space="preserve"> </w:t>
      </w:r>
      <w:r>
        <w:rPr>
          <w:rFonts w:cs="Times New Roman"/>
          <w:sz w:val="22"/>
        </w:rPr>
        <w:t>установки</w:t>
      </w:r>
      <w:r>
        <w:rPr>
          <w:rFonts w:cs="Times New Roman"/>
          <w:sz w:val="22"/>
          <w:lang w:val="en-US"/>
        </w:rPr>
        <w:t xml:space="preserve"> Server Core) (LTSB) 64-</w:t>
      </w:r>
      <w:r>
        <w:rPr>
          <w:rFonts w:cs="Times New Roman"/>
          <w:sz w:val="22"/>
        </w:rPr>
        <w:t>разрядная</w:t>
      </w:r>
      <w:r>
        <w:rPr>
          <w:rFonts w:cs="Times New Roman"/>
          <w:sz w:val="22"/>
          <w:lang w:val="en-US"/>
        </w:rPr>
        <w:t>;</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rPr>
        <w:t>Windows Server 2019 Standard 64-разрядная;</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rPr>
        <w:t>Windows Server 2019 Datacenter 64-разрядная;</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rPr>
        <w:t>Windows Server 2019 Core 64-разрядная;</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rPr>
        <w:t>Windows Server 2022 Standard 64-разрядная;</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rPr>
        <w:t>Windows Server 2022 Datacenter 64-разрядная;</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rPr>
        <w:t>Windows Server 2022 Core 64-разрядная;</w:t>
      </w:r>
    </w:p>
    <w:p>
      <w:pPr>
        <w:pStyle w:val="ListParagraph"/>
        <w:widowControl/>
        <w:numPr>
          <w:ilvl w:val="0"/>
          <w:numId w:val="18"/>
        </w:numPr>
        <w:tabs>
          <w:tab w:val="clear" w:pos="708"/>
          <w:tab w:val="left" w:pos="3625" w:leader="none"/>
        </w:tabs>
        <w:suppressAutoHyphens w:val="false"/>
        <w:bidi w:val="0"/>
        <w:spacing w:lineRule="auto" w:line="240" w:before="0" w:after="0"/>
        <w:ind w:hanging="737" w:left="680" w:right="0"/>
        <w:jc w:val="both"/>
        <w:textAlignment w:val="baseline"/>
        <w:rPr/>
      </w:pPr>
      <w:r>
        <w:rPr>
          <w:rFonts w:cs="Times New Roman"/>
          <w:sz w:val="22"/>
        </w:rPr>
        <w:t>Windows Storage Server 2019 64-разрядная.</w:t>
      </w:r>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централизованного управления, мониторинга и обновления, под управлением операционных систем Windows, должны функционировать с СУБД следующих версий:</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Microsoft SQL Server 2016 (все редакции) 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Microsoft SQL Server 2017 (все редакции) для Windows/Linux 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Microsoft SQL Server 2019 (все редакции) для Windows/Linux 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Microsoft SQL Server 2022 (все редакции) для Windows/Linux 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MySQL 5.7 Community 32-разрядная/64-разрядная;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MySQL 8.0 Community 32-разрядная/64-разрядная;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MariaDB 10.5 (сборка 10.5.17 и выше) 32-разрядная/64-разрядная;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MariaDB Galera Cluster 10.3 32-разрядная/64-разрядная с подсистемой хранилища InnoDB;</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PostgreSQL 13.x 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PostgreSQL 14.x 64-разрядная;</w:t>
      </w:r>
    </w:p>
    <w:p>
      <w:pPr>
        <w:pStyle w:val="ListParagraph"/>
        <w:numPr>
          <w:ilvl w:val="0"/>
          <w:numId w:val="20"/>
        </w:numPr>
        <w:suppressAutoHyphens w:val="false"/>
        <w:spacing w:lineRule="auto" w:line="240"/>
        <w:jc w:val="both"/>
        <w:rPr>
          <w:rFonts w:ascii="Times New Roman" w:hAnsi="Times New Roman" w:cs="Times New Roman"/>
          <w:sz w:val="22"/>
        </w:rPr>
      </w:pPr>
      <w:r>
        <w:rPr>
          <w:rFonts w:cs="Times New Roman"/>
          <w:sz w:val="22"/>
        </w:rPr>
        <w:t>PostgreSQL 15.x 64-разрядная;</w:t>
      </w:r>
    </w:p>
    <w:p>
      <w:pPr>
        <w:pStyle w:val="ListParagraph"/>
        <w:numPr>
          <w:ilvl w:val="0"/>
          <w:numId w:val="20"/>
        </w:numPr>
        <w:suppressAutoHyphens w:val="false"/>
        <w:spacing w:lineRule="auto" w:line="240"/>
        <w:jc w:val="both"/>
        <w:rPr>
          <w:rFonts w:ascii="Times New Roman" w:hAnsi="Times New Roman" w:cs="Times New Roman"/>
          <w:sz w:val="22"/>
          <w:lang w:val="en-US"/>
        </w:rPr>
      </w:pPr>
      <w:r>
        <w:rPr>
          <w:rFonts w:cs="Times New Roman"/>
          <w:sz w:val="22"/>
          <w:lang w:val="en-US"/>
        </w:rPr>
        <w:t>Postgres Pro Standard 13.x 64-</w:t>
      </w:r>
      <w:r>
        <w:rPr>
          <w:rFonts w:cs="Times New Roman"/>
          <w:sz w:val="22"/>
        </w:rPr>
        <w:t>разрядная</w:t>
      </w:r>
      <w:r>
        <w:rPr>
          <w:rFonts w:cs="Times New Roman"/>
          <w:sz w:val="22"/>
          <w:lang w:val="en-US"/>
        </w:rPr>
        <w:t>;</w:t>
      </w:r>
    </w:p>
    <w:p>
      <w:pPr>
        <w:pStyle w:val="ListParagraph"/>
        <w:numPr>
          <w:ilvl w:val="0"/>
          <w:numId w:val="20"/>
        </w:numPr>
        <w:suppressAutoHyphens w:val="false"/>
        <w:spacing w:lineRule="auto" w:line="240"/>
        <w:jc w:val="both"/>
        <w:rPr>
          <w:rFonts w:ascii="Times New Roman" w:hAnsi="Times New Roman" w:cs="Times New Roman"/>
          <w:sz w:val="22"/>
          <w:lang w:val="en-US"/>
        </w:rPr>
      </w:pPr>
      <w:r>
        <w:rPr>
          <w:rFonts w:cs="Times New Roman"/>
          <w:sz w:val="22"/>
          <w:lang w:val="en-US"/>
        </w:rPr>
        <w:t>Postgres Pro Standard 14.x 64-</w:t>
      </w:r>
      <w:r>
        <w:rPr>
          <w:rFonts w:cs="Times New Roman"/>
          <w:sz w:val="22"/>
        </w:rPr>
        <w:t>разрядная</w:t>
      </w:r>
      <w:r>
        <w:rPr>
          <w:rFonts w:cs="Times New Roman"/>
          <w:sz w:val="22"/>
          <w:lang w:val="en-US"/>
        </w:rPr>
        <w:t>;</w:t>
      </w:r>
    </w:p>
    <w:p>
      <w:pPr>
        <w:pStyle w:val="ListParagraph"/>
        <w:numPr>
          <w:ilvl w:val="0"/>
          <w:numId w:val="20"/>
        </w:numPr>
        <w:suppressAutoHyphens w:val="false"/>
        <w:spacing w:lineRule="auto" w:line="240"/>
        <w:jc w:val="both"/>
        <w:rPr>
          <w:rFonts w:ascii="Times New Roman" w:hAnsi="Times New Roman" w:cs="Times New Roman"/>
          <w:sz w:val="22"/>
        </w:rPr>
      </w:pPr>
      <w:bookmarkStart w:id="31" w:name="_Hlk100005407"/>
      <w:r>
        <w:rPr>
          <w:rFonts w:cs="Times New Roman"/>
          <w:sz w:val="22"/>
        </w:rPr>
        <w:t>Postgres Pro Certified 14.x 64-разрядная (сертификат соответствия ФСТЭК России № 4063)</w:t>
      </w:r>
      <w:bookmarkEnd w:id="31"/>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централизованного управления, мониторинга и обновления, под управлением операционных систем Windows, должны поддерживать установку на следующих виртуальных платформах:</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VMware vSphere 6.7;</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VMware vSphere 7.0;</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Citrix XenServer 7.1 LTSR;</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Citrix XenServer 8.x;</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Parallels Desktop 18;</w:t>
      </w:r>
    </w:p>
    <w:p>
      <w:pPr>
        <w:pStyle w:val="ListParagraph"/>
        <w:numPr>
          <w:ilvl w:val="0"/>
          <w:numId w:val="19"/>
        </w:numPr>
        <w:suppressAutoHyphens w:val="false"/>
        <w:spacing w:lineRule="auto" w:line="240"/>
        <w:jc w:val="both"/>
        <w:rPr>
          <w:rFonts w:ascii="Times New Roman" w:hAnsi="Times New Roman" w:cs="Times New Roman"/>
          <w:sz w:val="22"/>
        </w:rPr>
      </w:pPr>
      <w:bookmarkStart w:id="32" w:name="_Hlk100005386"/>
      <w:r>
        <w:rPr>
          <w:rFonts w:cs="Times New Roman"/>
          <w:sz w:val="22"/>
        </w:rPr>
        <w:t>Oracle VM VirtualBox 7.x</w:t>
      </w:r>
      <w:bookmarkEnd w:id="32"/>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Linux следующих версий:</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Debian GNU/Linux 11.х (Bullseye)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Debian GNU/Linux 12 (Bookworm)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lang w:val="en-US"/>
        </w:rPr>
        <w:t>Ubuntu Server 22.04 LTS (Jammy Jellyfish) 64-</w:t>
      </w:r>
      <w:r>
        <w:rPr>
          <w:rFonts w:cs="Times New Roman"/>
          <w:sz w:val="22"/>
        </w:rPr>
        <w:t>разрядная</w:t>
      </w:r>
      <w:r>
        <w:rPr>
          <w:rFonts w:cs="Times New Roman"/>
          <w:sz w:val="22"/>
          <w:lang w:val="en-US"/>
        </w:rPr>
        <w:t>.</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lang w:val="en-US"/>
        </w:rPr>
        <w:t>Ubuntu Server 24.04 LTS (Noble Numbat) 64-</w:t>
      </w:r>
      <w:r>
        <w:rPr>
          <w:rFonts w:cs="Times New Roman"/>
          <w:sz w:val="22"/>
        </w:rPr>
        <w:t>разрядная</w:t>
      </w:r>
      <w:r>
        <w:rPr>
          <w:rFonts w:cs="Times New Roman"/>
          <w:sz w:val="22"/>
          <w:lang w:val="en-US"/>
        </w:rPr>
        <w:t>.</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CentOS Stream 9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lang w:val="en-US"/>
        </w:rPr>
        <w:t>Red Hat Enterprise Linux Server 7.x 64-</w:t>
      </w:r>
      <w:r>
        <w:rPr>
          <w:rFonts w:cs="Times New Roman"/>
          <w:sz w:val="22"/>
        </w:rPr>
        <w:t>разрядная</w:t>
      </w:r>
      <w:r>
        <w:rPr>
          <w:rFonts w:cs="Times New Roman"/>
          <w:sz w:val="22"/>
          <w:lang w:val="en-US"/>
        </w:rPr>
        <w:t>.</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lang w:val="en-US"/>
        </w:rPr>
        <w:t>Red Hat Enterprise Linux Server 8.x 64-</w:t>
      </w:r>
      <w:r>
        <w:rPr>
          <w:rFonts w:cs="Times New Roman"/>
          <w:sz w:val="22"/>
        </w:rPr>
        <w:t>разрядная</w:t>
      </w:r>
      <w:r>
        <w:rPr>
          <w:rFonts w:cs="Times New Roman"/>
          <w:sz w:val="22"/>
          <w:lang w:val="en-US"/>
        </w:rPr>
        <w:t>.</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lang w:val="en-US"/>
        </w:rPr>
        <w:t>Red Hat Enterprise Linux Server 9.x 64-</w:t>
      </w:r>
      <w:r>
        <w:rPr>
          <w:rFonts w:cs="Times New Roman"/>
          <w:sz w:val="22"/>
        </w:rPr>
        <w:t>разрядная</w:t>
      </w:r>
      <w:r>
        <w:rPr>
          <w:rFonts w:cs="Times New Roman"/>
          <w:sz w:val="22"/>
          <w:lang w:val="en-US"/>
        </w:rPr>
        <w:t>.</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SUSE Linux Enterprise Server 12 (все пакеты обновлений)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SUSE Linux Enterprise Server 15 (все пакеты обновлений)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Операционная система специального назначения «Astra Linux Special Edition»РУСБ.10015-01 (сертификат соответствия ФСТЭК России № 2557).</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Astra Linux Common Edition (очередное обновление 2.12)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Альт СП Сервер 10 64-разрядная (сертификат соответствия ФСТЭК России № 3866).</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Альт 8 СП Сервер (ЛКНВ.11100-01) 64-разрядная (сертификат соответствия ФСТЭК России № 3866).</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Альт СП Рабочая станция 10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Oracle Linux 7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Oracle Linux 8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Oracle Linux 9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операционная система «Platform V SberLinux OS Server» (сертификат соответствия ФСТЭК России № 4884)</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операционная система «РЕД ОС» (сертификат соответствия ФСТЭК России № 4060).</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РЕД ОС 7.3 Сервер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РЕД ОС 8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РОСА "КОБАЛЬТ" 7.9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МОС</w:t>
      </w:r>
      <w:r>
        <w:rPr>
          <w:rFonts w:cs="Times New Roman"/>
          <w:sz w:val="22"/>
          <w:lang w:val="en-US"/>
        </w:rPr>
        <w:t xml:space="preserve"> (Moscow Electronic School) 12 </w:t>
      </w:r>
      <w:r>
        <w:rPr>
          <w:rFonts w:cs="Times New Roman"/>
          <w:sz w:val="22"/>
        </w:rPr>
        <w:t>Сервер</w:t>
      </w:r>
      <w:r>
        <w:rPr>
          <w:rFonts w:cs="Times New Roman"/>
          <w:sz w:val="22"/>
          <w:lang w:val="en-US"/>
        </w:rPr>
        <w:t xml:space="preserve"> 64-</w:t>
      </w:r>
      <w:r>
        <w:rPr>
          <w:rFonts w:cs="Times New Roman"/>
          <w:sz w:val="22"/>
        </w:rPr>
        <w:t>разрядная</w:t>
      </w:r>
      <w:r>
        <w:rPr>
          <w:rFonts w:cs="Times New Roman"/>
          <w:sz w:val="22"/>
          <w:lang w:val="en-US"/>
        </w:rPr>
        <w:t>.</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Mostech Server 64-разрядная.</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МосОС 15.4 Arbat 64-разрядная</w:t>
      </w:r>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jc w:val="both"/>
        <w:rPr>
          <w:rFonts w:ascii="Times New Roman" w:hAnsi="Times New Roman" w:cs="Times New Roman"/>
          <w:sz w:val="22"/>
        </w:rPr>
      </w:pPr>
      <w:r>
        <w:rPr>
          <w:rFonts w:cs="Times New Roman" w:ascii="Times New Roman" w:hAnsi="Times New Roman"/>
          <w:sz w:val="22"/>
        </w:rPr>
        <w:t>Программные средства централизованного управления, мониторинга и обновления, под управлением операционных систем Linux, должны функционировать с СУБД следующих версий:</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MySQL 5.7 Community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MySQL Standard Edition 8.0 (релиз 8.0.20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MySQL Enterprise Edition 8.0 (релиз 8.0.20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MariaDB 10.1 (сборка 10.1.30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MariaDB 10.3 (сборка 10.3.22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MariaDB 10.4 (сборка 10.4.20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MariaDB 10.5 (сборка 10.5.27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MariaDB 10.6 (сборка 10.6.20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MariaDB 10.11 (сборка 10.11.10 и выше) 32-разрядная/64-разрядная.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MariaDB Galera Cluster 10.3 32-разрядная/64-разрядная с подсистемой хранилища InnoDB.</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PostgreSQL 13.х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PostgreSQL 14.х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PostgreSQL 15.х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PostgreSQL 15.х 64-разрядная (кластер Corosync/Pacemaker).</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PostgreSQL 16.x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PostgreSQL 17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система управления базами данных «Postgres Pro»(сертификат соответствия ФСТЭК России № 3637).</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 Pro 13.х (все редакции)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 Pro 14.х (все редакции)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 Pro 15.х (все редакции) 64-разрядная.</w:t>
      </w:r>
    </w:p>
    <w:p>
      <w:pPr>
        <w:pStyle w:val="ListParagraph"/>
        <w:numPr>
          <w:ilvl w:val="0"/>
          <w:numId w:val="19"/>
        </w:numPr>
        <w:suppressAutoHyphens w:val="false"/>
        <w:spacing w:lineRule="auto" w:line="240"/>
        <w:jc w:val="both"/>
        <w:rPr>
          <w:rFonts w:ascii="Times New Roman" w:hAnsi="Times New Roman" w:cs="Times New Roman"/>
          <w:sz w:val="22"/>
          <w:lang w:val="en-US"/>
        </w:rPr>
      </w:pPr>
      <w:r>
        <w:rPr>
          <w:rFonts w:cs="Times New Roman"/>
          <w:sz w:val="22"/>
          <w:lang w:val="en-US"/>
        </w:rPr>
        <w:t>Postgres Pro 15.</w:t>
      </w:r>
      <w:r>
        <w:rPr>
          <w:rFonts w:cs="Times New Roman"/>
          <w:sz w:val="22"/>
        </w:rPr>
        <w:t>х</w:t>
      </w:r>
      <w:r>
        <w:rPr>
          <w:rFonts w:cs="Times New Roman"/>
          <w:sz w:val="22"/>
          <w:lang w:val="en-US"/>
        </w:rPr>
        <w:t xml:space="preserve"> 64-</w:t>
      </w:r>
      <w:r>
        <w:rPr>
          <w:rFonts w:cs="Times New Roman"/>
          <w:sz w:val="22"/>
        </w:rPr>
        <w:t>разрядная</w:t>
      </w:r>
      <w:r>
        <w:rPr>
          <w:rFonts w:cs="Times New Roman"/>
          <w:sz w:val="22"/>
          <w:lang w:val="en-US"/>
        </w:rPr>
        <w:t xml:space="preserve"> (</w:t>
      </w:r>
      <w:r>
        <w:rPr>
          <w:rFonts w:cs="Times New Roman"/>
          <w:sz w:val="22"/>
        </w:rPr>
        <w:t>кластер</w:t>
      </w:r>
      <w:r>
        <w:rPr>
          <w:rFonts w:cs="Times New Roman"/>
          <w:sz w:val="22"/>
          <w:lang w:val="en-US"/>
        </w:rPr>
        <w:t xml:space="preserve"> Corosync/Pacemaker).</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 Pro 16.х (все редакции) 64-разрядная.</w:t>
      </w:r>
    </w:p>
    <w:p>
      <w:pPr>
        <w:pStyle w:val="ListParagraph"/>
        <w:numPr>
          <w:ilvl w:val="0"/>
          <w:numId w:val="19"/>
        </w:numPr>
        <w:suppressAutoHyphens w:val="false"/>
        <w:spacing w:lineRule="auto" w:line="240"/>
        <w:jc w:val="both"/>
        <w:rPr>
          <w:rFonts w:ascii="Times New Roman" w:hAnsi="Times New Roman" w:cs="Times New Roman"/>
          <w:sz w:val="22"/>
          <w:lang w:val="en-US"/>
        </w:rPr>
      </w:pPr>
      <w:r>
        <w:rPr>
          <w:rFonts w:cs="Times New Roman"/>
          <w:sz w:val="22"/>
          <w:lang w:val="en-US"/>
        </w:rPr>
        <w:t>Postgres Pro 16.</w:t>
      </w:r>
      <w:r>
        <w:rPr>
          <w:rFonts w:cs="Times New Roman"/>
          <w:sz w:val="22"/>
        </w:rPr>
        <w:t>х</w:t>
      </w:r>
      <w:r>
        <w:rPr>
          <w:rFonts w:cs="Times New Roman"/>
          <w:sz w:val="22"/>
          <w:lang w:val="en-US"/>
        </w:rPr>
        <w:t xml:space="preserve"> Enterprise 64-</w:t>
      </w:r>
      <w:r>
        <w:rPr>
          <w:rFonts w:cs="Times New Roman"/>
          <w:sz w:val="22"/>
        </w:rPr>
        <w:t>разрядная</w:t>
      </w:r>
      <w:r>
        <w:rPr>
          <w:rFonts w:cs="Times New Roman"/>
          <w:sz w:val="22"/>
          <w:lang w:val="en-US"/>
        </w:rPr>
        <w:t xml:space="preserve"> (</w:t>
      </w:r>
      <w:r>
        <w:rPr>
          <w:rFonts w:cs="Times New Roman"/>
          <w:sz w:val="22"/>
        </w:rPr>
        <w:t>кластер</w:t>
      </w:r>
      <w:r>
        <w:rPr>
          <w:rFonts w:cs="Times New Roman"/>
          <w:sz w:val="22"/>
          <w:lang w:val="en-US"/>
        </w:rPr>
        <w:t xml:space="preserve"> Built-in High Availability).</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Postgres Pro 17 (все редакции)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система управления базами данных Postgres Pro Enterprise (сертификат соответствия ФСТЭК России № 4063).</w:t>
      </w:r>
    </w:p>
    <w:p>
      <w:pPr>
        <w:pStyle w:val="ListParagraph"/>
        <w:numPr>
          <w:ilvl w:val="0"/>
          <w:numId w:val="19"/>
        </w:numPr>
        <w:suppressAutoHyphens w:val="false"/>
        <w:spacing w:lineRule="auto" w:line="240"/>
        <w:jc w:val="both"/>
        <w:rPr>
          <w:rFonts w:ascii="Times New Roman" w:hAnsi="Times New Roman" w:cs="Times New Roman"/>
          <w:sz w:val="22"/>
          <w:lang w:val="en-US"/>
        </w:rPr>
      </w:pPr>
      <w:r>
        <w:rPr>
          <w:rFonts w:cs="Times New Roman"/>
          <w:sz w:val="22"/>
          <w:lang w:val="en-US"/>
        </w:rPr>
        <w:t>Postgres Pro 17 Enterprise 64-</w:t>
      </w:r>
      <w:r>
        <w:rPr>
          <w:rFonts w:cs="Times New Roman"/>
          <w:sz w:val="22"/>
        </w:rPr>
        <w:t>разрядная</w:t>
      </w:r>
      <w:r>
        <w:rPr>
          <w:rFonts w:cs="Times New Roman"/>
          <w:sz w:val="22"/>
          <w:lang w:val="en-US"/>
        </w:rPr>
        <w:t xml:space="preserve"> (</w:t>
      </w:r>
      <w:r>
        <w:rPr>
          <w:rFonts w:cs="Times New Roman"/>
          <w:sz w:val="22"/>
        </w:rPr>
        <w:t>кластер</w:t>
      </w:r>
      <w:r>
        <w:rPr>
          <w:rFonts w:cs="Times New Roman"/>
          <w:sz w:val="22"/>
          <w:lang w:val="en-US"/>
        </w:rPr>
        <w:t xml:space="preserve"> Built-in High Availability).</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СУБД Platform V Pangolin (сертификат соответствия ФСТЭК России № 4491).</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Platform V Pangolin 5.4.0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Platform V Pangolin 6.5.1 64-разрядная.</w:t>
      </w:r>
    </w:p>
    <w:p>
      <w:pPr>
        <w:pStyle w:val="ListParagraph"/>
        <w:numPr>
          <w:ilvl w:val="0"/>
          <w:numId w:val="19"/>
        </w:numPr>
        <w:suppressAutoHyphens w:val="false"/>
        <w:spacing w:lineRule="auto" w:line="240"/>
        <w:jc w:val="both"/>
        <w:rPr>
          <w:rFonts w:ascii="Times New Roman" w:hAnsi="Times New Roman" w:cs="Times New Roman"/>
          <w:sz w:val="22"/>
          <w:lang w:val="en-US"/>
        </w:rPr>
      </w:pPr>
      <w:r>
        <w:rPr>
          <w:rFonts w:cs="Times New Roman"/>
          <w:sz w:val="22"/>
          <w:lang w:val="en-US"/>
        </w:rPr>
        <w:t>Platform V Pangolin 6.5.1 64-</w:t>
      </w:r>
      <w:r>
        <w:rPr>
          <w:rFonts w:cs="Times New Roman"/>
          <w:sz w:val="22"/>
        </w:rPr>
        <w:t>разрядная</w:t>
      </w:r>
      <w:r>
        <w:rPr>
          <w:rFonts w:cs="Times New Roman"/>
          <w:sz w:val="22"/>
          <w:lang w:val="en-US"/>
        </w:rPr>
        <w:t xml:space="preserve"> (</w:t>
      </w:r>
      <w:r>
        <w:rPr>
          <w:rFonts w:cs="Times New Roman"/>
          <w:sz w:val="22"/>
        </w:rPr>
        <w:t>кластер</w:t>
      </w:r>
      <w:r>
        <w:rPr>
          <w:rFonts w:cs="Times New Roman"/>
          <w:sz w:val="22"/>
          <w:lang w:val="en-US"/>
        </w:rPr>
        <w:t xml:space="preserve"> Built-in High Availability).</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защищённая система управления базами данных «Jatoba» (сертификат соответствия ФСТЭК России № 4327).</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Jatoba 4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Jatoba 5 64-разрядная.</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Tantor SE 1С для Astra Linux Special Edition РУСБ.10015-01 (очередное обновление 1.8) 64-разрядная (сертификат соответствия ФСТЭК России № 4856).</w:t>
      </w:r>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before="0" w:after="0"/>
        <w:jc w:val="both"/>
        <w:rPr/>
      </w:pPr>
      <w:r>
        <w:rPr>
          <w:rFonts w:cs="Times New Roman" w:ascii="Times New Roman" w:hAnsi="Times New Roman"/>
          <w:sz w:val="22"/>
        </w:rPr>
        <w:t>Программные средства централизованного управления, мониторинга и обновления, под управлением операционных систем Linux, должны поддерживать установку на следующих виртуальных платформах:</w:t>
      </w:r>
    </w:p>
    <w:p>
      <w:pPr>
        <w:pStyle w:val="ListParagraph"/>
        <w:numPr>
          <w:ilvl w:val="0"/>
          <w:numId w:val="19"/>
        </w:numPr>
        <w:suppressAutoHyphens w:val="false"/>
        <w:spacing w:lineRule="auto" w:line="240" w:before="0" w:after="0"/>
        <w:jc w:val="both"/>
        <w:rPr>
          <w:rFonts w:ascii="Times New Roman" w:hAnsi="Times New Roman" w:cs="Times New Roman"/>
          <w:sz w:val="22"/>
        </w:rPr>
      </w:pPr>
      <w:r>
        <w:rPr>
          <w:rFonts w:cs="Times New Roman"/>
          <w:sz w:val="22"/>
        </w:rPr>
        <w:t>VMware vSphere 6.7.0.</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VMware vSphere 7.0.3.</w:t>
      </w:r>
    </w:p>
    <w:p>
      <w:pPr>
        <w:pStyle w:val="ListParagraph"/>
        <w:numPr>
          <w:ilvl w:val="0"/>
          <w:numId w:val="19"/>
        </w:numPr>
        <w:suppressAutoHyphens w:val="false"/>
        <w:spacing w:lineRule="auto" w:line="240"/>
        <w:jc w:val="both"/>
        <w:rPr>
          <w:rFonts w:ascii="Times New Roman" w:hAnsi="Times New Roman" w:cs="Times New Roman"/>
          <w:sz w:val="22"/>
          <w:lang w:val="en-US"/>
        </w:rPr>
      </w:pPr>
      <w:r>
        <w:rPr>
          <w:rFonts w:cs="Times New Roman"/>
          <w:sz w:val="22"/>
          <w:lang w:val="en-US"/>
        </w:rPr>
        <w:t>Microsoft Hyper-V Server 2019 64-</w:t>
      </w:r>
      <w:r>
        <w:rPr>
          <w:rFonts w:cs="Times New Roman"/>
          <w:sz w:val="22"/>
        </w:rPr>
        <w:t>разрядная</w:t>
      </w:r>
      <w:r>
        <w:rPr>
          <w:rFonts w:cs="Times New Roman"/>
          <w:sz w:val="22"/>
          <w:lang w:val="en-US"/>
        </w:rPr>
        <w:t>.</w:t>
      </w:r>
    </w:p>
    <w:p>
      <w:pPr>
        <w:pStyle w:val="ListParagraph"/>
        <w:numPr>
          <w:ilvl w:val="0"/>
          <w:numId w:val="19"/>
        </w:numPr>
        <w:suppressAutoHyphens w:val="false"/>
        <w:spacing w:lineRule="auto" w:line="240"/>
        <w:jc w:val="both"/>
        <w:rPr>
          <w:rFonts w:ascii="Times New Roman" w:hAnsi="Times New Roman" w:cs="Times New Roman"/>
          <w:sz w:val="22"/>
          <w:lang w:val="en-US"/>
        </w:rPr>
      </w:pPr>
      <w:r>
        <w:rPr>
          <w:rFonts w:cs="Times New Roman"/>
          <w:sz w:val="22"/>
          <w:lang w:val="en-US"/>
        </w:rPr>
        <w:t>Microsoft Hyper-V Server 2022 64-</w:t>
      </w:r>
      <w:r>
        <w:rPr>
          <w:rFonts w:cs="Times New Roman"/>
          <w:sz w:val="22"/>
        </w:rPr>
        <w:t>разрядная</w:t>
      </w:r>
      <w:r>
        <w:rPr>
          <w:rFonts w:cs="Times New Roman"/>
          <w:sz w:val="22"/>
          <w:lang w:val="en-US"/>
        </w:rPr>
        <w:t>.</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Citrix XenServer 7.x.</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Citrix XenServer 8.2.</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Parallels Desktop 18.</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Oracle VM VirtualBox 7.0.12.</w:t>
      </w:r>
    </w:p>
    <w:p>
      <w:pPr>
        <w:pStyle w:val="ListParagraph"/>
        <w:numPr>
          <w:ilvl w:val="0"/>
          <w:numId w:val="19"/>
        </w:numPr>
        <w:suppressAutoHyphens w:val="false"/>
        <w:spacing w:lineRule="auto" w:line="240"/>
        <w:jc w:val="both"/>
        <w:rPr>
          <w:rFonts w:ascii="Times New Roman" w:hAnsi="Times New Roman" w:cs="Times New Roman"/>
          <w:sz w:val="22"/>
        </w:rPr>
      </w:pPr>
      <w:r>
        <w:rPr>
          <w:rFonts w:cs="Times New Roman"/>
          <w:sz w:val="22"/>
        </w:rPr>
        <w:t>Виртуальная машина на основе Kernel (все операционные системы Linux, поддерживаемые Сервером администрирования).</w:t>
      </w:r>
    </w:p>
    <w:p>
      <w:pPr>
        <w:pStyle w:val="Normal"/>
        <w:spacing w:lineRule="auto" w:line="240" w:before="0" w:after="0"/>
        <w:jc w:val="both"/>
        <w:rPr>
          <w:rFonts w:ascii="Times New Roman" w:hAnsi="Times New Roman" w:cs="Times New Roman"/>
          <w:sz w:val="22"/>
        </w:rPr>
      </w:pPr>
      <w:r>
        <w:rPr>
          <w:rFonts w:cs="Times New Roman" w:ascii="Times New Roman" w:hAnsi="Times New Roman"/>
          <w:sz w:val="22"/>
        </w:rPr>
      </w:r>
    </w:p>
    <w:p>
      <w:pPr>
        <w:pStyle w:val="Normal"/>
        <w:spacing w:lineRule="auto" w:line="240" w:before="0" w:after="0"/>
        <w:jc w:val="both"/>
        <w:rPr/>
      </w:pPr>
      <w:r>
        <w:rPr>
          <w:rFonts w:cs="Times New Roman" w:ascii="Times New Roman" w:hAnsi="Times New Roman"/>
          <w:sz w:val="22"/>
        </w:rPr>
        <w:t>В программном средстве антивирусной защиты должны быть реализованы следующие функциональные возможности:</w:t>
      </w:r>
    </w:p>
    <w:p>
      <w:pPr>
        <w:pStyle w:val="Normal"/>
        <w:spacing w:lineRule="auto" w:line="240" w:before="0" w:after="0"/>
        <w:jc w:val="both"/>
        <w:rPr>
          <w:rFonts w:ascii="Times New Roman" w:hAnsi="Times New Roman" w:cs="Times New Roman"/>
          <w:sz w:val="22"/>
        </w:rPr>
      </w:pPr>
      <w:r>
        <w:rPr>
          <w:rFonts w:cs="Times New Roman" w:ascii="Times New Roman" w:hAnsi="Times New Roman"/>
          <w:sz w:val="22"/>
        </w:rPr>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генерация записи аудита для событий, подвергаемых аудиту;</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чтение информации из записей аудита;</w:t>
      </w:r>
    </w:p>
    <w:p>
      <w:pPr>
        <w:pStyle w:val="ListParagraph"/>
        <w:widowControl/>
        <w:numPr>
          <w:ilvl w:val="0"/>
          <w:numId w:val="21"/>
        </w:numPr>
        <w:suppressAutoHyphens w:val="false"/>
        <w:bidi w:val="0"/>
        <w:spacing w:lineRule="auto" w:line="240" w:before="0" w:after="0"/>
        <w:ind w:hanging="737" w:left="737" w:right="0"/>
        <w:jc w:val="both"/>
        <w:textAlignment w:val="baseline"/>
        <w:rPr/>
      </w:pPr>
      <w:r>
        <w:rPr>
          <w:rFonts w:cs="Times New Roman"/>
          <w:sz w:val="22"/>
        </w:rPr>
        <w:t>ассоциация событий аудита с идентификаторами субъекта;</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ограничение доступа к чтению записей аудита;</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поиск, сортировка данных аудита;</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обработка зараженных объектов на АРМ и серверах вычислительной сети;</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 xml:space="preserve">выполнение автоматизированного запуска САВЗ на АРМ и серверах вычислительной сети с заданными условиями поиска вредоносных объектов и режимами реагирования по расписанию; </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выполнение удаленного администрирования процессов обнаружения вредоносных объектов, обновления базы данных признаков вредоносных компьютерных программ (БД ПКВ) и компонентов САВЗ;</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возможность уполномоченным пользователям управлять параметрами настройки функций безопасности САВЗ;</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возможность создания учетных записей и идентификации/аутентификации пользователей;</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отображение сигнала тревоги на автоматизированном рабочем месте администратора безопасности, указывающего на обнаружение вредоносных объектов на пользовательских автоматизированных рабочих местах.</w:t>
      </w:r>
    </w:p>
    <w:p>
      <w:pPr>
        <w:pStyle w:val="ListParagraph"/>
        <w:widowControl/>
        <w:numPr>
          <w:ilvl w:val="0"/>
          <w:numId w:val="21"/>
        </w:numPr>
        <w:suppressAutoHyphens w:val="false"/>
        <w:bidi w:val="0"/>
        <w:spacing w:lineRule="auto" w:line="240"/>
        <w:ind w:hanging="737" w:left="737" w:right="0"/>
        <w:jc w:val="both"/>
        <w:textAlignment w:val="baseline"/>
        <w:rPr/>
      </w:pPr>
      <w:r>
        <w:rPr>
          <w:rFonts w:cs="Times New Roman"/>
          <w:sz w:val="22"/>
        </w:rPr>
        <w:t>выполнение получения и установки обновлений БД ПКВ без применения средств автоматизации и в автоматизированном режиме в том числе с сетевого ресурса;</w:t>
      </w:r>
    </w:p>
    <w:p>
      <w:pPr>
        <w:pStyle w:val="ListParagraph"/>
        <w:widowControl/>
        <w:numPr>
          <w:ilvl w:val="0"/>
          <w:numId w:val="21"/>
        </w:numPr>
        <w:suppressAutoHyphens w:val="false"/>
        <w:bidi w:val="0"/>
        <w:spacing w:lineRule="auto" w:line="240"/>
        <w:ind w:hanging="737" w:left="737" w:right="0"/>
        <w:jc w:val="both"/>
        <w:textAlignment w:val="baseline"/>
        <w:rPr/>
      </w:pPr>
      <w:bookmarkStart w:id="33" w:name="_Hlk100005498"/>
      <w:bookmarkStart w:id="34" w:name="_Hlk148454610"/>
      <w:r>
        <w:rPr>
          <w:rFonts w:cs="Times New Roman"/>
          <w:sz w:val="22"/>
        </w:rPr>
        <w:t>выполнение централизованной установки компонентов САВЗ.</w:t>
      </w:r>
      <w:bookmarkEnd w:id="33"/>
      <w:bookmarkEnd w:id="34"/>
    </w:p>
    <w:p>
      <w:pPr>
        <w:pStyle w:val="Normal"/>
        <w:spacing w:lineRule="auto" w:line="240"/>
        <w:jc w:val="both"/>
        <w:rPr>
          <w:rFonts w:ascii="Times New Roman" w:hAnsi="Times New Roman" w:cs="Times New Roman"/>
          <w:sz w:val="22"/>
        </w:rPr>
      </w:pPr>
      <w:r>
        <w:rPr>
          <w:rFonts w:cs="Times New Roman" w:ascii="Times New Roman" w:hAnsi="Times New Roman"/>
          <w:sz w:val="22"/>
        </w:rPr>
      </w:r>
    </w:p>
    <w:p>
      <w:pPr>
        <w:pStyle w:val="Normal"/>
        <w:spacing w:lineRule="auto" w:line="240" w:before="0" w:after="0"/>
        <w:jc w:val="both"/>
        <w:rPr/>
      </w:pPr>
      <w:r>
        <w:rPr>
          <w:rFonts w:cs="Times New Roman" w:ascii="Times New Roman" w:hAnsi="Times New Roman"/>
          <w:sz w:val="22"/>
        </w:rPr>
        <w:t>Кроме того, программные средства централизованного управления, мониторинга и обновления должны обеспечивать реализацию следующих функциональных возможностей, не требующих сертификацию ФСТЭК:</w:t>
      </w:r>
    </w:p>
    <w:p>
      <w:pPr>
        <w:pStyle w:val="ListParagraph"/>
        <w:numPr>
          <w:ilvl w:val="0"/>
          <w:numId w:val="5"/>
        </w:numPr>
        <w:suppressAutoHyphens w:val="false"/>
        <w:spacing w:lineRule="auto" w:line="240" w:before="0" w:after="0"/>
        <w:jc w:val="both"/>
        <w:rPr/>
      </w:pPr>
      <w:r>
        <w:rPr>
          <w:rFonts w:cs="Times New Roman"/>
          <w:sz w:val="22"/>
        </w:rPr>
        <w:t>выбор архитектуры установки централизованного средства управления, мониторинга и обновления в зависимости от количества защищаемых узлов;</w:t>
      </w:r>
    </w:p>
    <w:p>
      <w:pPr>
        <w:pStyle w:val="ListParagraph"/>
        <w:numPr>
          <w:ilvl w:val="0"/>
          <w:numId w:val="5"/>
        </w:numPr>
        <w:suppressAutoHyphens w:val="false"/>
        <w:spacing w:lineRule="auto" w:line="240" w:before="0" w:after="0"/>
        <w:jc w:val="both"/>
        <w:rPr>
          <w:rFonts w:ascii="Times New Roman" w:hAnsi="Times New Roman" w:cs="Times New Roman"/>
          <w:sz w:val="22"/>
        </w:rPr>
      </w:pPr>
      <w:r>
        <w:rPr>
          <w:rFonts w:cs="Times New Roman"/>
          <w:sz w:val="22"/>
        </w:rPr>
        <w:t>возможность чтения информации из Active Directory, с целью получения данных об учетных записях компьютеров и пользователей в организации;</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настройки правил переноса обнаруженных компьютеров по ip-адресу, типу ОС, нахождению в OU AD;</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автоматическое распределение учетных записей компьютеров по группам управления, в случае появления новых компьютеров в сети; Возможность настройки правил переноса по IPv4-адресу, типу ОС, нахождению в OU AD;</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централизованные установка, обновление и удаление программных средств антивирусной защиты;</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централизованная настройка, администрирование;</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просмотр отчетов и статистической информации по работе средств защиты;</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централизованное удаление (ручное и автоматическое) несовместимых приложений средствами центра управления;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сохранение истории изменений политик и задач, возможность выполнить откат к предыдущим версиям;</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наличие различных методов установки антивирусных агентов: для удаленной установки - RPC, GPO, средствами системы управления, для локальной установки – возможность создать автономный пакет установки;</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указания в политиках безопасности специальных триггеров, которые переопределяют настройки антивирусного решения в зависимости от учетной записи, под которой пользователь вошел в систему, текущего ip-адреса, а также от того, в каком OU находится компьютер или в какой группе безопасности;</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 xml:space="preserve">возможность иерархии триггеров, по которым происходит перераспределение; </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тестирование загруженных обновлений средствами ПО централизованного управления перед распространением на клиентские машины;</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доставка обновлений на рабочие места пользователей сразу после их получения;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построение многоуровневой системы управления с возможностью настройки прав администраторов и операторов, а также форм предоставляемой отчетности на каждом уровне;</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поддержка мультиарендности (multi-tenancy) для серверов управления;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обновление программных средств и антивирусных баз из разных источников, как по каналам связи, так и на машинных носителях информации;</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доступ к облачным серверам производителя антивирусного ПО через сервер управления;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автоматическое распространение лицензии на клиентские компьютеры;</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инвентаризация установленного ПО и оборудования на компьютерах пользователей;</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функция управления мобильными устройствами через сервер Exchange ActiveSync (только для Windows);</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функция управления мобильными устройствами через сервер iOS MDM (только для Windows);</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отправки SMS-оповещений о заданных событиях;</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централизованная установка сертификатов на управляемые мобильные устройства (только для Windows);</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 xml:space="preserve">возможность указания любого компьютера организации центром ретрансляции обновлений для снижения сетевой нагрузки на систему управления </w:t>
      </w:r>
      <w:bookmarkStart w:id="35" w:name="_Hlk148455143"/>
      <w:r>
        <w:rPr>
          <w:rFonts w:cs="Times New Roman"/>
          <w:sz w:val="22"/>
        </w:rPr>
        <w:t>(только для Windows)</w:t>
      </w:r>
      <w:bookmarkEnd w:id="35"/>
      <w:r>
        <w:rPr>
          <w:rFonts w:cs="Times New Roman"/>
          <w:sz w:val="22"/>
        </w:rPr>
        <w:t>;</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указания любого компьютера организации центром пересылки событий антивирусных агентов, выбранной группы клиентских компьютеров, серверу централизованного управления для снижения сетевой нагрузки на систему управления;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автоматизированный поиск уязвимостей в установленных приложениях и операционной системе на компьютерах с ОС Windows;</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построение графических отчетов по событиям антивирусной защиты, данным инвентаризации, данным лицензирования установленных программ;</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наличие преднастроенных стандартных отчетов о работе системы;</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экспорт отчетов в файлы форматов PDF и XML;</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создание внутренних учетных записей для аутентификации на сервере управления;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создание резервной копии системы управления встроенными средствами системы управления;</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поддержка Windows Failover Clustering;</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 xml:space="preserve">поддержка интеграции с Windows сервисом Certificate Authority </w:t>
      </w:r>
      <w:bookmarkStart w:id="36" w:name="_Hlk148455552"/>
      <w:r>
        <w:rPr>
          <w:rFonts w:cs="Times New Roman"/>
          <w:sz w:val="22"/>
        </w:rPr>
        <w:t>(только для Windows)</w:t>
      </w:r>
      <w:bookmarkEnd w:id="36"/>
      <w:r>
        <w:rPr>
          <w:rFonts w:cs="Times New Roman"/>
          <w:sz w:val="22"/>
        </w:rPr>
        <w:t>;</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наличие веб-консоли управления приложением;</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наличие системы контроля возникновения вирусных эпидемий (только для Windows);</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установки в облачной инфраструктуре Microsoft Azure и Google Cloud (только для Windows);</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интеграции по OpenAPI;</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управления антивирусной защитой с использованием WEB консоли.</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интеграции с SIEM системами;</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задать профили соединения для автономных пользователей с Linux-устройствами для подключения к одному и тому же или разным cерверам централизованного управления в зависимости от местоположения устройства;</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передачи ключей шифрования между cерверами централизованного управления;</w:t>
      </w:r>
    </w:p>
    <w:p>
      <w:pPr>
        <w:pStyle w:val="ListParagraph"/>
        <w:numPr>
          <w:ilvl w:val="0"/>
          <w:numId w:val="5"/>
        </w:numPr>
        <w:suppressAutoHyphens w:val="false"/>
        <w:spacing w:lineRule="auto" w:line="259"/>
        <w:jc w:val="both"/>
        <w:rPr>
          <w:rFonts w:ascii="Times New Roman" w:hAnsi="Times New Roman" w:cs="Times New Roman"/>
          <w:sz w:val="22"/>
        </w:rPr>
      </w:pPr>
      <w:r>
        <w:rPr>
          <w:rFonts w:cs="Times New Roman"/>
          <w:sz w:val="22"/>
        </w:rPr>
        <w:t>двухэтапная проверка для снижения риска несанкционированного доступа к Консоли администрирования (2FA);</w:t>
      </w:r>
    </w:p>
    <w:p>
      <w:pPr>
        <w:pStyle w:val="ListParagraph"/>
        <w:numPr>
          <w:ilvl w:val="0"/>
          <w:numId w:val="5"/>
        </w:numPr>
        <w:suppressAutoHyphens w:val="false"/>
        <w:spacing w:lineRule="auto" w:line="240"/>
        <w:jc w:val="both"/>
        <w:rPr>
          <w:rFonts w:ascii="Times New Roman" w:hAnsi="Times New Roman" w:cs="Times New Roman"/>
          <w:sz w:val="22"/>
        </w:rPr>
      </w:pPr>
      <w:r>
        <w:rPr>
          <w:rFonts w:cs="Times New Roman"/>
          <w:sz w:val="22"/>
        </w:rPr>
        <w:t>возможность отозвать права локального администратора учетных записей на управляемых устройствах с операционной системой Linux;</w:t>
      </w:r>
    </w:p>
    <w:p>
      <w:pPr>
        <w:pStyle w:val="ListParagraph"/>
        <w:numPr>
          <w:ilvl w:val="0"/>
          <w:numId w:val="5"/>
        </w:numPr>
        <w:suppressAutoHyphens w:val="false"/>
        <w:spacing w:lineRule="auto" w:line="240" w:before="0" w:after="0"/>
        <w:jc w:val="both"/>
        <w:rPr/>
      </w:pPr>
      <w:bookmarkStart w:id="37" w:name="_Hlk211968496"/>
      <w:r>
        <w:rPr>
          <w:rFonts w:cs="Times New Roman"/>
          <w:sz w:val="22"/>
        </w:rPr>
        <w:t>возможность изменить пароль локальной учетной записи на управляемых устройствах с операционной системой Linux.</w:t>
      </w:r>
      <w:bookmarkEnd w:id="37"/>
    </w:p>
    <w:p>
      <w:pPr>
        <w:pStyle w:val="ListParagraph"/>
        <w:spacing w:lineRule="auto" w:line="240" w:before="0" w:after="0"/>
        <w:jc w:val="both"/>
        <w:rPr>
          <w:rFonts w:ascii="Times New Roman" w:hAnsi="Times New Roman" w:cs="Times New Roman"/>
          <w:sz w:val="22"/>
        </w:rPr>
      </w:pPr>
      <w:r>
        <w:rPr>
          <w:rFonts w:cs="Times New Roman"/>
          <w:sz w:val="22"/>
        </w:rPr>
      </w:r>
    </w:p>
    <w:p>
      <w:pPr>
        <w:pStyle w:val="Heading1"/>
        <w:numPr>
          <w:ilvl w:val="0"/>
          <w:numId w:val="0"/>
        </w:numPr>
        <w:spacing w:lineRule="auto" w:line="240" w:before="0" w:after="0"/>
        <w:ind w:hanging="0" w:left="720"/>
        <w:jc w:val="both"/>
        <w:rPr/>
      </w:pPr>
      <w:bookmarkStart w:id="38" w:name="_Toc35803033"/>
      <w:bookmarkStart w:id="39" w:name="_Toc213673505"/>
      <w:r>
        <w:rPr>
          <w:rFonts w:eastAsia="Calibri" w:cs="Times New Roman" w:eastAsiaTheme="minorHAnsi"/>
          <w:color w:val="auto"/>
          <w:sz w:val="22"/>
          <w:szCs w:val="22"/>
        </w:rPr>
        <w:t>Требования к обновлению антивирусных баз</w:t>
      </w:r>
      <w:bookmarkEnd w:id="38"/>
      <w:bookmarkEnd w:id="39"/>
    </w:p>
    <w:p>
      <w:pPr>
        <w:pStyle w:val="Normal"/>
        <w:spacing w:lineRule="auto" w:line="240" w:before="0" w:after="0"/>
        <w:jc w:val="both"/>
        <w:rPr/>
      </w:pPr>
      <w:r>
        <w:rPr>
          <w:rFonts w:cs="Times New Roman" w:ascii="Times New Roman" w:hAnsi="Times New Roman"/>
          <w:sz w:val="22"/>
        </w:rPr>
        <w:t>Обновляемые антивирусные базы данных должны обеспечивать реализацию следующих функциональных возможностей:</w:t>
      </w:r>
    </w:p>
    <w:p>
      <w:pPr>
        <w:pStyle w:val="ListParagraph"/>
        <w:numPr>
          <w:ilvl w:val="0"/>
          <w:numId w:val="6"/>
        </w:numPr>
        <w:suppressAutoHyphens w:val="false"/>
        <w:spacing w:lineRule="auto" w:line="240" w:before="0" w:after="0"/>
        <w:jc w:val="both"/>
        <w:rPr/>
      </w:pPr>
      <w:r>
        <w:rPr>
          <w:rFonts w:cs="Times New Roman"/>
          <w:sz w:val="22"/>
        </w:rPr>
        <w:t>создания правил обновления антивирусных баз не реже 24 раз в течение календарных суток;</w:t>
      </w:r>
    </w:p>
    <w:p>
      <w:pPr>
        <w:pStyle w:val="ListParagraph"/>
        <w:numPr>
          <w:ilvl w:val="0"/>
          <w:numId w:val="6"/>
        </w:numPr>
        <w:suppressAutoHyphens w:val="false"/>
        <w:spacing w:lineRule="auto" w:line="240" w:before="0" w:after="0"/>
        <w:jc w:val="both"/>
        <w:rPr/>
      </w:pPr>
      <w:r>
        <w:rPr>
          <w:rFonts w:cs="Times New Roman"/>
          <w:sz w:val="22"/>
        </w:rPr>
        <w:t>множественность путей обновления, в том числе – по каналам связи и на отчуждаемых электронных носителях информации;</w:t>
      </w:r>
    </w:p>
    <w:p>
      <w:pPr>
        <w:pStyle w:val="ListParagraph"/>
        <w:numPr>
          <w:ilvl w:val="0"/>
          <w:numId w:val="6"/>
        </w:numPr>
        <w:suppressAutoHyphens w:val="false"/>
        <w:spacing w:lineRule="auto" w:line="240" w:before="0" w:after="0"/>
        <w:jc w:val="both"/>
        <w:rPr>
          <w:rFonts w:ascii="Times New Roman" w:hAnsi="Times New Roman" w:cs="Times New Roman"/>
          <w:sz w:val="22"/>
        </w:rPr>
      </w:pPr>
      <w:r>
        <w:rPr>
          <w:rFonts w:cs="Times New Roman"/>
          <w:sz w:val="22"/>
        </w:rPr>
        <w:t>проверку целостности и подлинности обновлений средствами электронной цифровой подписи.</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40" w:name="_Toc35803034"/>
      <w:bookmarkStart w:id="41" w:name="_Toc213673506"/>
      <w:r>
        <w:rPr>
          <w:rFonts w:eastAsia="Calibri" w:cs="Times New Roman" w:eastAsiaTheme="minorHAnsi"/>
          <w:color w:val="auto"/>
          <w:sz w:val="22"/>
          <w:szCs w:val="22"/>
        </w:rPr>
        <w:t>Требования к эксплуатационной документации</w:t>
      </w:r>
      <w:bookmarkEnd w:id="40"/>
      <w:bookmarkEnd w:id="41"/>
    </w:p>
    <w:p>
      <w:pPr>
        <w:pStyle w:val="Normal"/>
        <w:spacing w:lineRule="auto" w:line="240"/>
        <w:jc w:val="both"/>
        <w:rPr>
          <w:rFonts w:ascii="Times New Roman" w:hAnsi="Times New Roman" w:cs="Times New Roman"/>
          <w:sz w:val="22"/>
        </w:rPr>
      </w:pPr>
      <w:r>
        <w:rPr>
          <w:rFonts w:cs="Times New Roman" w:ascii="Times New Roman" w:hAnsi="Times New Roman"/>
          <w:sz w:val="22"/>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pPr>
        <w:pStyle w:val="ListParagraph"/>
        <w:numPr>
          <w:ilvl w:val="0"/>
          <w:numId w:val="7"/>
        </w:numPr>
        <w:suppressAutoHyphens w:val="false"/>
        <w:spacing w:lineRule="auto" w:line="240"/>
        <w:jc w:val="both"/>
        <w:rPr>
          <w:rFonts w:ascii="Times New Roman" w:hAnsi="Times New Roman" w:cs="Times New Roman"/>
          <w:sz w:val="22"/>
        </w:rPr>
      </w:pPr>
      <w:r>
        <w:rPr>
          <w:rFonts w:cs="Times New Roman"/>
          <w:sz w:val="22"/>
        </w:rPr>
        <w:t>«Руководство пользователя (администратора)»</w:t>
      </w:r>
    </w:p>
    <w:p>
      <w:pPr>
        <w:pStyle w:val="Normal"/>
        <w:spacing w:lineRule="auto" w:line="240"/>
        <w:jc w:val="both"/>
        <w:rPr>
          <w:rFonts w:ascii="Times New Roman" w:hAnsi="Times New Roman" w:cs="Times New Roman"/>
          <w:sz w:val="22"/>
        </w:rPr>
      </w:pPr>
      <w:r>
        <w:rPr>
          <w:rFonts w:cs="Times New Roman" w:ascii="Times New Roman" w:hAnsi="Times New Roman"/>
          <w:sz w:val="22"/>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pPr>
        <w:pStyle w:val="Heading1"/>
        <w:numPr>
          <w:ilvl w:val="0"/>
          <w:numId w:val="0"/>
        </w:numPr>
        <w:spacing w:lineRule="auto" w:line="240"/>
        <w:ind w:hanging="0" w:left="720"/>
        <w:jc w:val="both"/>
        <w:rPr>
          <w:rFonts w:ascii="Times New Roman" w:hAnsi="Times New Roman" w:eastAsia="Calibri" w:cs="Times New Roman" w:eastAsiaTheme="minorHAnsi"/>
          <w:color w:val="auto"/>
          <w:sz w:val="22"/>
          <w:szCs w:val="22"/>
        </w:rPr>
      </w:pPr>
      <w:bookmarkStart w:id="42" w:name="_Toc35803035"/>
      <w:bookmarkStart w:id="43" w:name="_Toc213673507"/>
      <w:r>
        <w:rPr>
          <w:rFonts w:eastAsia="Calibri" w:cs="Times New Roman" w:eastAsiaTheme="minorHAnsi"/>
          <w:color w:val="auto"/>
          <w:sz w:val="22"/>
          <w:szCs w:val="22"/>
        </w:rPr>
        <w:t>Требования к технической поддержке</w:t>
      </w:r>
      <w:bookmarkEnd w:id="42"/>
      <w:bookmarkEnd w:id="43"/>
    </w:p>
    <w:p>
      <w:pPr>
        <w:pStyle w:val="Normal"/>
        <w:spacing w:lineRule="auto" w:line="240" w:before="0" w:after="0"/>
        <w:jc w:val="both"/>
        <w:rPr/>
      </w:pPr>
      <w:r>
        <w:rPr>
          <w:rFonts w:cs="Times New Roman" w:ascii="Times New Roman" w:hAnsi="Times New Roman"/>
          <w:sz w:val="22"/>
        </w:rPr>
        <w:t>Техническая поддержка антивирусного программного обеспечения должна:</w:t>
      </w:r>
    </w:p>
    <w:p>
      <w:pPr>
        <w:pStyle w:val="ListParagraph"/>
        <w:widowControl/>
        <w:numPr>
          <w:ilvl w:val="0"/>
          <w:numId w:val="7"/>
        </w:numPr>
        <w:suppressAutoHyphens w:val="false"/>
        <w:bidi w:val="0"/>
        <w:spacing w:lineRule="auto" w:line="240" w:before="0" w:after="0"/>
        <w:ind w:hanging="567" w:left="567" w:right="0"/>
        <w:jc w:val="both"/>
        <w:textAlignment w:val="baseline"/>
        <w:rPr/>
      </w:pPr>
      <w:r>
        <w:rPr>
          <w:rFonts w:cs="Times New Roman"/>
          <w:sz w:val="22"/>
        </w:rPr>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электронной почте и через Интернет.</w:t>
      </w:r>
    </w:p>
    <w:p>
      <w:pPr>
        <w:pStyle w:val="ListParagraph"/>
        <w:numPr>
          <w:ilvl w:val="0"/>
          <w:numId w:val="7"/>
        </w:numPr>
        <w:suppressAutoHyphens w:val="false"/>
        <w:spacing w:lineRule="auto" w:line="240" w:before="0" w:after="0"/>
        <w:jc w:val="both"/>
        <w:rPr/>
      </w:pPr>
      <w:r>
        <w:rPr>
          <w:rFonts w:cs="Times New Roman"/>
          <w:sz w:val="22"/>
        </w:rPr>
        <w:t>Web-сайт производителя антивирусного решения должен быть на русском языке, иметь специальный раздел, посвящённый технической поддержке антивирусного решения, пополняемую базу знаний, а также форум пользователей программных продуктов.</w:t>
      </w:r>
    </w:p>
    <w:p>
      <w:pPr>
        <w:pStyle w:val="Normal"/>
        <w:spacing w:before="0" w:after="0"/>
        <w:jc w:val="both"/>
        <w:rPr>
          <w:rFonts w:ascii="Times New Roman" w:hAnsi="Times New Roman" w:cs="Times New Roman"/>
          <w:sz w:val="22"/>
        </w:rPr>
      </w:pPr>
      <w:r>
        <w:rPr>
          <w:rFonts w:cs="Times New Roman" w:ascii="Times New Roman" w:hAnsi="Times New Roman"/>
          <w:sz w:val="22"/>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7222"/>
        <w:gridCol w:w="7347"/>
      </w:tblGrid>
      <w:tr>
        <w:trPr/>
        <w:tc>
          <w:tcPr>
            <w:tcW w:w="7222" w:type="dxa"/>
            <w:tcBorders/>
          </w:tcPr>
          <w:p>
            <w:pPr>
              <w:pStyle w:val="ConsPlusNormal1"/>
              <w:ind w:hanging="0"/>
              <w:rPr/>
            </w:pPr>
            <w:r>
              <w:rPr>
                <w:rFonts w:cs="Times New Roman" w:ascii="Times New Roman" w:hAnsi="Times New Roman"/>
                <w:szCs w:val="22"/>
              </w:rPr>
              <w:t>Заказчик</w:t>
            </w:r>
            <w:r>
              <w:rPr>
                <w:rFonts w:cs="Times New Roman" w:ascii="Times New Roman" w:hAnsi="Times New Roman"/>
              </w:rPr>
              <w:t>:</w:t>
            </w:r>
          </w:p>
        </w:tc>
        <w:tc>
          <w:tcPr>
            <w:tcW w:w="7347" w:type="dxa"/>
            <w:tcBorders/>
          </w:tcPr>
          <w:p>
            <w:pPr>
              <w:pStyle w:val="ConsPlusNormal1"/>
              <w:ind w:hanging="0"/>
              <w:rPr/>
            </w:pPr>
            <w:r>
              <w:rPr>
                <w:rFonts w:cs="Times New Roman" w:ascii="Times New Roman" w:hAnsi="Times New Roman"/>
                <w:szCs w:val="22"/>
              </w:rPr>
              <w:t>Исполнитель</w:t>
            </w:r>
            <w:r>
              <w:rPr>
                <w:rFonts w:cs="Times New Roman" w:ascii="Times New Roman" w:hAnsi="Times New Roman"/>
              </w:rPr>
              <w:t>:</w:t>
            </w:r>
          </w:p>
        </w:tc>
      </w:tr>
      <w:tr>
        <w:trPr/>
        <w:tc>
          <w:tcPr>
            <w:tcW w:w="7222" w:type="dxa"/>
            <w:tcBorders/>
          </w:tcPr>
          <w:p>
            <w:pPr>
              <w:pStyle w:val="ConsPlusNormal1"/>
              <w:ind w:hanging="0"/>
              <w:rPr>
                <w:rFonts w:ascii="Times New Roman" w:hAnsi="Times New Roman" w:cs="Times New Roman"/>
              </w:rPr>
            </w:pPr>
            <w:r>
              <w:rPr>
                <w:rFonts w:cs="Times New Roman" w:ascii="Times New Roman" w:hAnsi="Times New Roman"/>
              </w:rPr>
            </w:r>
          </w:p>
          <w:p>
            <w:pPr>
              <w:pStyle w:val="ConsPlusNormal1"/>
              <w:ind w:hanging="0"/>
              <w:rPr/>
            </w:pPr>
            <w:r>
              <w:rPr>
                <w:rFonts w:cs="Times New Roman" w:ascii="Times New Roman" w:hAnsi="Times New Roman"/>
              </w:rPr>
              <w:t>______________________ /А.А.Сухов</w:t>
            </w:r>
          </w:p>
        </w:tc>
        <w:tc>
          <w:tcPr>
            <w:tcW w:w="7347" w:type="dxa"/>
            <w:tcBorders/>
          </w:tcPr>
          <w:p>
            <w:pPr>
              <w:pStyle w:val="Normal"/>
              <w:tabs>
                <w:tab w:val="clear" w:pos="708"/>
                <w:tab w:val="left" w:pos="3250" w:leader="none"/>
              </w:tabs>
              <w:spacing w:lineRule="auto" w:line="240" w:before="0" w:after="0"/>
              <w:ind w:hanging="0"/>
              <w:jc w:val="both"/>
              <w:rPr/>
            </w:pPr>
            <w:r>
              <w:rPr/>
            </w:r>
          </w:p>
          <w:p>
            <w:pPr>
              <w:pStyle w:val="Normal"/>
              <w:tabs>
                <w:tab w:val="clear" w:pos="708"/>
                <w:tab w:val="left" w:pos="3250" w:leader="none"/>
              </w:tabs>
              <w:spacing w:lineRule="auto" w:line="240" w:before="0" w:after="0"/>
              <w:ind w:hanging="0"/>
              <w:jc w:val="both"/>
              <w:rPr/>
            </w:pPr>
            <w:r>
              <w:rPr>
                <w:rFonts w:eastAsia="Calibri" w:cs="Times New Roman" w:ascii="Times New Roman" w:hAnsi="Times New Roman"/>
                <w:color w:val="auto"/>
                <w:kern w:val="0"/>
                <w:sz w:val="22"/>
                <w:szCs w:val="22"/>
                <w:lang w:val="en-AU" w:eastAsia="ru-RU" w:bidi="ar-SA"/>
              </w:rPr>
              <w:t>______________________</w:t>
            </w:r>
            <w:r>
              <w:rPr/>
              <w:t xml:space="preserve"> /</w:t>
            </w:r>
            <w:r>
              <w:rPr>
                <w:rFonts w:eastAsia="Calibri" w:cs="Times New Roman" w:ascii="Times New Roman" w:hAnsi="Times New Roman"/>
                <w:color w:val="auto"/>
                <w:kern w:val="0"/>
                <w:sz w:val="22"/>
                <w:szCs w:val="22"/>
                <w:lang w:val="en-AU" w:eastAsia="ru-RU" w:bidi="ar-SA"/>
              </w:rPr>
              <w:t>___________</w:t>
            </w:r>
          </w:p>
        </w:tc>
      </w:tr>
      <w:tr>
        <w:trPr/>
        <w:tc>
          <w:tcPr>
            <w:tcW w:w="7222" w:type="dxa"/>
            <w:tcBorders/>
          </w:tcPr>
          <w:p>
            <w:pPr>
              <w:pStyle w:val="ConsPlusNormal1"/>
              <w:ind w:hanging="0"/>
              <w:rPr/>
            </w:pPr>
            <w:r>
              <w:rPr>
                <w:rFonts w:cs="Times New Roman" w:ascii="Times New Roman" w:hAnsi="Times New Roman"/>
              </w:rPr>
              <w:t>"____" _____________ 2026 г.</w:t>
            </w:r>
          </w:p>
        </w:tc>
        <w:tc>
          <w:tcPr>
            <w:tcW w:w="7347" w:type="dxa"/>
            <w:tcBorders/>
          </w:tcPr>
          <w:p>
            <w:pPr>
              <w:pStyle w:val="ConsPlusNormal1"/>
              <w:ind w:hanging="0"/>
              <w:rPr/>
            </w:pPr>
            <w:r>
              <w:rPr>
                <w:rFonts w:cs="Times New Roman" w:ascii="Times New Roman" w:hAnsi="Times New Roman"/>
              </w:rPr>
              <w:t>"____" _____________ 2026 г.</w:t>
            </w:r>
          </w:p>
        </w:tc>
      </w:tr>
      <w:tr>
        <w:trPr/>
        <w:tc>
          <w:tcPr>
            <w:tcW w:w="7222" w:type="dxa"/>
            <w:tcBorders/>
          </w:tcPr>
          <w:p>
            <w:pPr>
              <w:pStyle w:val="ConsPlusNormal1"/>
              <w:ind w:hanging="0"/>
              <w:rPr/>
            </w:pPr>
            <w:r>
              <w:rPr>
                <w:rFonts w:cs="Times New Roman" w:ascii="Times New Roman" w:hAnsi="Times New Roman"/>
                <w:lang w:val="ru-RU"/>
              </w:rPr>
              <w:t>М.П.</w:t>
            </w:r>
          </w:p>
        </w:tc>
        <w:tc>
          <w:tcPr>
            <w:tcW w:w="7347" w:type="dxa"/>
            <w:tcBorders/>
          </w:tcPr>
          <w:p>
            <w:pPr>
              <w:pStyle w:val="ConsPlusNormal1"/>
              <w:ind w:hanging="0"/>
              <w:rPr/>
            </w:pPr>
            <w:r>
              <w:rPr>
                <w:rFonts w:cs="Times New Roman" w:ascii="Times New Roman" w:hAnsi="Times New Roman"/>
                <w:lang w:val="ru-RU"/>
              </w:rPr>
              <w:t>М.П. (при наличии печати)</w:t>
            </w:r>
          </w:p>
        </w:tc>
      </w:tr>
    </w:tbl>
    <w:p>
      <w:pPr>
        <w:pStyle w:val="Normal"/>
        <w:widowControl w:val="false"/>
        <w:spacing w:lineRule="auto" w:line="240" w:before="0" w:after="0"/>
        <w:jc w:val="center"/>
        <w:rPr>
          <w:rFonts w:ascii="Times New Roman" w:hAnsi="Times New Roman" w:cs="Times New Roman"/>
          <w:b/>
          <w:sz w:val="22"/>
        </w:rPr>
      </w:pPr>
      <w:r>
        <w:rPr>
          <w:rFonts w:cs="Times New Roman" w:ascii="Times New Roman" w:hAnsi="Times New Roman"/>
          <w:b/>
          <w:sz w:val="22"/>
        </w:rPr>
      </w:r>
    </w:p>
    <w:sectPr>
      <w:footerReference w:type="even" r:id="rId9"/>
      <w:footerReference w:type="default" r:id="rId10"/>
      <w:footerReference w:type="first" r:id="rId11"/>
      <w:type w:val="nextPage"/>
      <w:pgSz w:orient="landscape" w:w="16838" w:h="11906"/>
      <w:pgMar w:left="1134" w:right="1134" w:gutter="0" w:header="0" w:top="1134" w:footer="0" w:bottom="1134"/>
      <w:pgNumType w:start="9"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Calibri Light">
    <w:charset w:val="01"/>
    <w:family w:val="roman"/>
    <w:pitch w:val="variable"/>
  </w:font>
  <w:font w:name="Courier New">
    <w:charset w:val="01"/>
    <w:family w:val="roman"/>
    <w:pitch w:val="variable"/>
  </w:font>
  <w:font w:name="Arial">
    <w:charset w:val="01"/>
    <w:family w:val="swiss"/>
    <w:pitch w:val="variable"/>
  </w:font>
  <w:font w:name="OpenSymbol">
    <w:altName w:val="Arial Unicode MS"/>
    <w:charset w:val="01"/>
    <w:family w:val="roman"/>
    <w:pitch w:val="variable"/>
  </w:font>
  <w:font w:name="Open Sans">
    <w:charset w:val="01"/>
    <w:family w:val="roman"/>
    <w:pitch w:val="variable"/>
  </w:font>
  <w:font w:name="Arial Narrow">
    <w:charset w:val="01"/>
    <w:family w:val="roman"/>
    <w:pitch w:val="variable"/>
  </w:font>
  <w:font w:name="Courier">
    <w:altName w:val="Courier New"/>
    <w:charset w:val="01"/>
    <w:family w:val="roman"/>
    <w:pitch w:val="variable"/>
  </w:font>
  <w:font w:name="TimesDL">
    <w:charset w:val="01"/>
    <w:family w:val="roman"/>
    <w:pitch w:val="variable"/>
  </w:font>
  <w:font w:name="Garamond">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val="false"/>
      <w:spacing w:lineRule="auto" w:line="240"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p>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p>
  <w:p>
    <w:pPr>
      <w:pStyle w:val="Footer"/>
      <w:spacing w:before="0" w:after="20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val="false"/>
      <w:spacing w:lineRule="auto" w:line="240" w:before="0" w:after="20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right"/>
      <w:rPr>
        <w:rFonts w:ascii="Times New Roman" w:hAnsi="Times New Roman"/>
      </w:rPr>
    </w:pPr>
    <w:r>
      <w:rPr>
        <w:rFonts w:ascii="Times New Roman" w:hAnsi="Times New Roman"/>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val="false"/>
      <w:spacing w:lineRule="auto" w:line="240" w:before="0" w:after="200"/>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76" w:before="0" w:after="200"/>
      <w:jc w:val="left"/>
      <w:textAlignment w:val="baseline"/>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0"/>
        </w:tabs>
        <w:ind w:left="720" w:hanging="720"/>
      </w:pPr>
      <w:rPr/>
    </w:lvl>
    <w:lvl w:ilvl="1">
      <w:start w:val="1"/>
      <w:pStyle w:val="Heading2"/>
      <w:numFmt w:val="decimal"/>
      <w:lvlText w:val="%1.%2"/>
      <w:lvlJc w:val="left"/>
      <w:pPr>
        <w:tabs>
          <w:tab w:val="num" w:pos="0"/>
        </w:tabs>
        <w:ind w:left="720" w:hanging="720"/>
      </w:pPr>
      <w:rPr/>
    </w:lvl>
    <w:lvl w:ilvl="2">
      <w:start w:val="1"/>
      <w:pStyle w:val="Heading3"/>
      <w:numFmt w:val="lowerLetter"/>
      <w:lvlText w:val="(%3)"/>
      <w:lvlJc w:val="left"/>
      <w:pPr>
        <w:tabs>
          <w:tab w:val="num" w:pos="0"/>
        </w:tabs>
        <w:ind w:left="1440" w:hanging="720"/>
      </w:pPr>
      <w:rPr/>
    </w:lvl>
    <w:lvl w:ilvl="3">
      <w:start w:val="1"/>
      <w:pStyle w:val="Heading4"/>
      <w:numFmt w:val="lowerRoman"/>
      <w:lvlText w:val="(%4)"/>
      <w:lvlJc w:val="left"/>
      <w:pPr>
        <w:tabs>
          <w:tab w:val="num" w:pos="0"/>
        </w:tabs>
        <w:ind w:left="3981" w:hanging="720"/>
      </w:pPr>
      <w:rPr/>
    </w:lvl>
    <w:lvl w:ilvl="4">
      <w:start w:val="1"/>
      <w:pStyle w:val="Heading5"/>
      <w:numFmt w:val="upperLetter"/>
      <w:lvlText w:val="(%5)"/>
      <w:lvlJc w:val="left"/>
      <w:pPr>
        <w:tabs>
          <w:tab w:val="num" w:pos="0"/>
        </w:tabs>
        <w:ind w:left="2880" w:hanging="720"/>
      </w:pPr>
      <w:rPr/>
    </w:lvl>
    <w:lvl w:ilvl="5">
      <w:start w:val="1"/>
      <w:pStyle w:val="Heading6"/>
      <w:numFmt w:val="upperLetter"/>
      <w:lvlText w:val="(%6)"/>
      <w:lvlJc w:val="left"/>
      <w:pPr>
        <w:tabs>
          <w:tab w:val="num" w:pos="0"/>
        </w:tabs>
        <w:ind w:left="3600" w:hanging="720"/>
      </w:pPr>
      <w:rPr/>
    </w:lvl>
    <w:lvl w:ilvl="6">
      <w:start w:val="1"/>
      <w:pStyle w:val="Heading7"/>
      <w:numFmt w:val="upperRoman"/>
      <w:lvlText w:val="(%7)"/>
      <w:lvlJc w:val="left"/>
      <w:pPr>
        <w:tabs>
          <w:tab w:val="num" w:pos="0"/>
        </w:tabs>
        <w:ind w:left="4321" w:hanging="721"/>
      </w:pPr>
      <w:rPr/>
    </w:lvl>
    <w:lvl w:ilvl="7">
      <w:start w:val="1"/>
      <w:pStyle w:val="Heading8"/>
      <w:numFmt w:val="lowerLetter"/>
      <w:lvlText w:val="%8."/>
      <w:lvlJc w:val="left"/>
      <w:pPr>
        <w:tabs>
          <w:tab w:val="num" w:pos="0"/>
        </w:tabs>
        <w:ind w:left="2880" w:hanging="360"/>
      </w:pPr>
      <w:rPr/>
    </w:lvl>
    <w:lvl w:ilvl="8">
      <w:start w:val="1"/>
      <w:numFmt w:val="none"/>
      <w:suff w:val="nothing"/>
      <w:lvlText w:val="%9"/>
      <w:lvlJc w:val="left"/>
      <w:pPr>
        <w:tabs>
          <w:tab w:val="num" w:pos="0"/>
        </w:tabs>
        <w:ind w:left="0" w:hanging="0"/>
      </w:pPr>
      <w:rPr/>
    </w:lvl>
  </w:abstractNum>
  <w:abstractNum w:abstractNumId="2">
    <w:lvl w:ilvl="0">
      <w:start w:val="1"/>
      <w:numFmt w:val="upperLetter"/>
      <w:lvlText w:val="(%1)"/>
      <w:lvlJc w:val="left"/>
      <w:pPr>
        <w:tabs>
          <w:tab w:val="num" w:pos="0"/>
        </w:tabs>
        <w:ind w:left="720" w:hanging="72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720"/>
      </w:pPr>
      <w:rPr/>
    </w:lvl>
    <w:lvl w:ilvl="1">
      <w:start w:val="1"/>
      <w:numFmt w:val="bullet"/>
      <w:lvlText w:val=""/>
      <w:lvlJc w:val="left"/>
      <w:pPr>
        <w:tabs>
          <w:tab w:val="num" w:pos="0"/>
        </w:tabs>
        <w:ind w:left="720" w:hanging="720"/>
      </w:pPr>
      <w:rPr>
        <w:rFonts w:ascii="Symbol" w:hAnsi="Symbol" w:cs="Symbol" w:hint="default"/>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7."/>
      <w:lvlJc w:val="left"/>
      <w:pPr>
        <w:tabs>
          <w:tab w:val="num" w:pos="0"/>
        </w:tabs>
        <w:ind w:left="720" w:hanging="720"/>
      </w:pPr>
      <w:rPr/>
    </w:lvl>
    <w:lvl w:ilvl="7">
      <w:start w:val="1"/>
      <w:numFmt w:val="lowerLetter"/>
      <w:lvlText w:val="%8."/>
      <w:lvlJc w:val="left"/>
      <w:pPr>
        <w:tabs>
          <w:tab w:val="num" w:pos="0"/>
        </w:tabs>
        <w:ind w:left="720" w:hanging="720"/>
      </w:pPr>
      <w:rPr/>
    </w:lvl>
    <w:lvl w:ilvl="8">
      <w:start w:val="1"/>
      <w:numFmt w:val="lowerRoman"/>
      <w:lvlText w:val="%9."/>
      <w:lvlJc w:val="left"/>
      <w:pPr>
        <w:tabs>
          <w:tab w:val="num" w:pos="0"/>
        </w:tabs>
        <w:ind w:left="720" w:hanging="720"/>
      </w:pPr>
      <w:rPr/>
    </w:lvl>
  </w:abstractNum>
  <w:abstractNum w:abstractNumId="4">
    <w:lvl w:ilvl="0">
      <w:start w:val="1"/>
      <w:numFmt w:val="bullet"/>
      <w:lvlText w:val=""/>
      <w:lvlJc w:val="left"/>
      <w:pPr>
        <w:tabs>
          <w:tab w:val="num" w:pos="0"/>
        </w:tabs>
        <w:ind w:left="720" w:hanging="720"/>
      </w:pPr>
      <w:rPr>
        <w:rFonts w:ascii="Symbol" w:hAnsi="Symbol" w:cs="Symbol" w:hint="default"/>
      </w:rPr>
    </w:lvl>
    <w:lvl w:ilvl="1">
      <w:start w:val="1"/>
      <w:numFmt w:val="decimal"/>
      <w:lvlText w:val="(%2)"/>
      <w:lvlJc w:val="left"/>
      <w:pPr>
        <w:tabs>
          <w:tab w:val="num" w:pos="0"/>
        </w:tabs>
        <w:ind w:left="720" w:hanging="720"/>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bullet"/>
      <w:lvlText w:val=""/>
      <w:lvlJc w:val="left"/>
      <w:pPr>
        <w:tabs>
          <w:tab w:val="num" w:pos="0"/>
        </w:tabs>
        <w:ind w:left="720" w:hanging="720"/>
      </w:pPr>
      <w:rPr>
        <w:rFonts w:ascii="Symbol" w:hAnsi="Symbol" w:cs="Symbol" w:hint="default"/>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6">
    <w:lvl w:ilvl="0">
      <w:start w:val="1"/>
      <w:numFmt w:val="bullet"/>
      <w:suff w:val="space"/>
      <w:lvlText w:val=""/>
      <w:lvlJc w:val="left"/>
      <w:pPr>
        <w:tabs>
          <w:tab w:val="num" w:pos="0"/>
        </w:tabs>
        <w:ind w:left="360" w:hanging="360"/>
      </w:pPr>
      <w:rPr>
        <w:rFonts w:ascii="Symbol" w:hAnsi="Symbol" w:cs="Symbol" w:hint="default"/>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7">
    <w:lvl w:ilvl="0">
      <w:start w:val="1"/>
      <w:numFmt w:val="bullet"/>
      <w:suff w:val="space"/>
      <w:lvlText w:val=""/>
      <w:lvlJc w:val="left"/>
      <w:pPr>
        <w:tabs>
          <w:tab w:val="num" w:pos="0"/>
        </w:tabs>
        <w:ind w:left="360" w:hanging="360"/>
      </w:pPr>
      <w:rPr>
        <w:rFonts w:ascii="Symbol" w:hAnsi="Symbol" w:cs="Symbol" w:hint="default"/>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suff w:val="space"/>
      <w:lvlText w:val=""/>
      <w:lvlJc w:val="left"/>
      <w:pPr>
        <w:tabs>
          <w:tab w:val="num" w:pos="0"/>
        </w:tabs>
        <w:ind w:left="360" w:hanging="360"/>
      </w:pPr>
      <w:rPr>
        <w:rFonts w:ascii="Symbol" w:hAnsi="Symbol" w:cs="Symbol" w:hint="default"/>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bullet"/>
      <w:suff w:val="nothing"/>
      <w:lvlText w:val=""/>
      <w:lvlJc w:val="left"/>
      <w:pPr>
        <w:tabs>
          <w:tab w:val="num" w:pos="0"/>
        </w:tabs>
        <w:ind w:left="720" w:hanging="0"/>
      </w:pPr>
      <w:rPr>
        <w:rFonts w:ascii="Symbol" w:hAnsi="Symbol" w:cs="Symbol" w:hint="default"/>
      </w:rPr>
    </w:lvl>
    <w:lvl w:ilvl="1">
      <w:start w:val="1"/>
      <w:numFmt w:val="lowerLetter"/>
      <w:lvlText w:val="%1.%2)"/>
      <w:lvlJc w:val="left"/>
      <w:pPr>
        <w:tabs>
          <w:tab w:val="num" w:pos="0"/>
        </w:tabs>
        <w:ind w:left="720" w:hanging="0"/>
      </w:pPr>
      <w:rPr/>
    </w:lvl>
    <w:lvl w:ilvl="2">
      <w:start w:val="1"/>
      <w:numFmt w:val="lowerRoman"/>
      <w:lvlText w:val="%1.%2.%3)"/>
      <w:lvlJc w:val="left"/>
      <w:pPr>
        <w:tabs>
          <w:tab w:val="num" w:pos="0"/>
        </w:tabs>
        <w:ind w:left="720" w:hanging="0"/>
      </w:pPr>
      <w:rPr/>
    </w:lvl>
    <w:lvl w:ilvl="3">
      <w:start w:val="1"/>
      <w:numFmt w:val="none"/>
      <w:suff w:val="nothing"/>
      <w:lvlText w:val="%4"/>
      <w:lvlJc w:val="left"/>
      <w:pPr>
        <w:tabs>
          <w:tab w:val="num" w:pos="0"/>
        </w:tabs>
        <w:ind w:left="1080" w:hanging="0"/>
      </w:pPr>
      <w:rPr/>
    </w:lvl>
    <w:lvl w:ilvl="4">
      <w:start w:val="1"/>
      <w:numFmt w:val="lowerLetter"/>
      <w:lvlText w:val="(%5)"/>
      <w:lvlJc w:val="left"/>
      <w:pPr>
        <w:tabs>
          <w:tab w:val="num" w:pos="0"/>
        </w:tabs>
        <w:ind w:left="1440" w:hanging="0"/>
      </w:pPr>
      <w:rPr/>
    </w:lvl>
    <w:lvl w:ilvl="5">
      <w:start w:val="1"/>
      <w:numFmt w:val="lowerRoman"/>
      <w:lvlText w:val="(%6)"/>
      <w:lvlJc w:val="left"/>
      <w:pPr>
        <w:tabs>
          <w:tab w:val="num" w:pos="0"/>
        </w:tabs>
        <w:ind w:left="1800" w:hanging="0"/>
      </w:pPr>
      <w:rPr/>
    </w:lvl>
    <w:lvl w:ilvl="6">
      <w:start w:val="1"/>
      <w:numFmt w:val="decimal"/>
      <w:lvlText w:val="%7."/>
      <w:lvlJc w:val="left"/>
      <w:pPr>
        <w:tabs>
          <w:tab w:val="num" w:pos="0"/>
        </w:tabs>
        <w:ind w:left="2160" w:hanging="0"/>
      </w:pPr>
      <w:rPr/>
    </w:lvl>
    <w:lvl w:ilvl="7">
      <w:start w:val="1"/>
      <w:numFmt w:val="lowerLetter"/>
      <w:lvlText w:val="%8."/>
      <w:lvlJc w:val="left"/>
      <w:pPr>
        <w:tabs>
          <w:tab w:val="num" w:pos="0"/>
        </w:tabs>
        <w:ind w:left="2520" w:hanging="0"/>
      </w:pPr>
      <w:rPr/>
    </w:lvl>
    <w:lvl w:ilvl="8">
      <w:start w:val="1"/>
      <w:numFmt w:val="lowerRoman"/>
      <w:lvlText w:val="%9."/>
      <w:lvlJc w:val="left"/>
      <w:pPr>
        <w:tabs>
          <w:tab w:val="num" w:pos="0"/>
        </w:tabs>
        <w:ind w:left="2880" w:hanging="0"/>
      </w:pPr>
      <w:rPr/>
    </w:lvl>
  </w:abstractNum>
  <w:abstractNum w:abstractNumId="10">
    <w:lvl w:ilvl="0">
      <w:start w:val="1"/>
      <w:numFmt w:val="bullet"/>
      <w:suff w:val="nothing"/>
      <w:lvlText w:val=""/>
      <w:lvlJc w:val="left"/>
      <w:pPr>
        <w:tabs>
          <w:tab w:val="num" w:pos="0"/>
        </w:tabs>
        <w:ind w:left="720" w:hanging="0"/>
      </w:pPr>
      <w:rPr>
        <w:rFonts w:ascii="Symbol" w:hAnsi="Symbol" w:cs="Symbol" w:hint="default"/>
      </w:rPr>
    </w:lvl>
    <w:lvl w:ilvl="1">
      <w:start w:val="1"/>
      <w:numFmt w:val="lowerLetter"/>
      <w:lvlText w:val="%1.%2)"/>
      <w:lvlJc w:val="left"/>
      <w:pPr>
        <w:tabs>
          <w:tab w:val="num" w:pos="0"/>
        </w:tabs>
        <w:ind w:left="720" w:hanging="0"/>
      </w:pPr>
      <w:rPr/>
    </w:lvl>
    <w:lvl w:ilvl="2">
      <w:start w:val="1"/>
      <w:numFmt w:val="lowerRoman"/>
      <w:lvlText w:val="%1.%2.%3)"/>
      <w:lvlJc w:val="left"/>
      <w:pPr>
        <w:tabs>
          <w:tab w:val="num" w:pos="0"/>
        </w:tabs>
        <w:ind w:left="720" w:hanging="0"/>
      </w:pPr>
      <w:rPr/>
    </w:lvl>
    <w:lvl w:ilvl="3">
      <w:start w:val="1"/>
      <w:numFmt w:val="decimal"/>
      <w:lvlText w:val="%1.%2.%3.%4."/>
      <w:lvlJc w:val="left"/>
      <w:pPr>
        <w:tabs>
          <w:tab w:val="num" w:pos="0"/>
        </w:tabs>
        <w:ind w:left="1440" w:hanging="0"/>
      </w:pPr>
      <w:rPr/>
    </w:lvl>
    <w:lvl w:ilvl="4">
      <w:start w:val="1"/>
      <w:numFmt w:val="decimal"/>
      <w:lvlText w:val="%1.%2.%3.%4.%5."/>
      <w:lvlJc w:val="left"/>
      <w:pPr>
        <w:tabs>
          <w:tab w:val="num" w:pos="0"/>
        </w:tabs>
        <w:ind w:left="1800" w:hanging="0"/>
      </w:pPr>
      <w:rPr/>
    </w:lvl>
    <w:lvl w:ilvl="5">
      <w:start w:val="1"/>
      <w:numFmt w:val="decimal"/>
      <w:lvlText w:val="%1.%2.%3.%4.%5.%6."/>
      <w:lvlJc w:val="left"/>
      <w:pPr>
        <w:tabs>
          <w:tab w:val="num" w:pos="0"/>
        </w:tabs>
        <w:ind w:left="2160" w:hanging="0"/>
      </w:pPr>
      <w:rPr/>
    </w:lvl>
    <w:lvl w:ilvl="6">
      <w:start w:val="1"/>
      <w:numFmt w:val="decimal"/>
      <w:lvlText w:val="%1.%2.%3.%4.%5.%6.%7."/>
      <w:lvlJc w:val="left"/>
      <w:pPr>
        <w:tabs>
          <w:tab w:val="num" w:pos="0"/>
        </w:tabs>
        <w:ind w:left="2520" w:hanging="0"/>
      </w:pPr>
      <w:rPr/>
    </w:lvl>
    <w:lvl w:ilvl="7">
      <w:start w:val="1"/>
      <w:numFmt w:val="decimal"/>
      <w:lvlText w:val="%1.%2.%3.%4.%5.%6.%7.%8."/>
      <w:lvlJc w:val="left"/>
      <w:pPr>
        <w:tabs>
          <w:tab w:val="num" w:pos="0"/>
        </w:tabs>
        <w:ind w:left="2880" w:hanging="0"/>
      </w:pPr>
      <w:rPr/>
    </w:lvl>
    <w:lvl w:ilvl="8">
      <w:start w:val="1"/>
      <w:numFmt w:val="decimal"/>
      <w:lvlText w:val="%1.%2.%3.%4.%5.%6.%7.%8.%9."/>
      <w:lvlJc w:val="left"/>
      <w:pPr>
        <w:tabs>
          <w:tab w:val="num" w:pos="0"/>
        </w:tabs>
        <w:ind w:left="3240" w:hanging="0"/>
      </w:pPr>
      <w:rPr/>
    </w:lvl>
  </w:abstractNum>
  <w:abstractNum w:abstractNumId="11">
    <w:lvl w:ilvl="0">
      <w:start w:val="1"/>
      <w:numFmt w:val="bullet"/>
      <w:lvlText w:val=""/>
      <w:lvlJc w:val="left"/>
      <w:pPr>
        <w:tabs>
          <w:tab w:val="num" w:pos="0"/>
        </w:tabs>
        <w:ind w:left="680" w:hanging="680"/>
      </w:pPr>
      <w:rPr>
        <w:rFonts w:ascii="Symbol" w:hAnsi="Symbol" w:cs="Symbol" w:hint="default"/>
      </w:rPr>
    </w:lvl>
    <w:lvl w:ilvl="1">
      <w:start w:val="1"/>
      <w:numFmt w:val="bullet"/>
      <w:lvlText w:val=""/>
      <w:lvlJc w:val="left"/>
      <w:pPr>
        <w:tabs>
          <w:tab w:val="num" w:pos="0"/>
        </w:tabs>
        <w:ind w:left="680" w:hanging="680"/>
      </w:pPr>
      <w:rPr>
        <w:rFonts w:ascii="Symbol" w:hAnsi="Symbol" w:cs="Symbol" w:hint="default"/>
      </w:rPr>
    </w:lvl>
    <w:lvl w:ilvl="2">
      <w:start w:val="1"/>
      <w:numFmt w:val="decimal"/>
      <w:lvlText w:val="%1.%2.%3"/>
      <w:lvlJc w:val="left"/>
      <w:pPr>
        <w:tabs>
          <w:tab w:val="num" w:pos="0"/>
        </w:tabs>
        <w:ind w:left="1361" w:hanging="681"/>
      </w:pPr>
      <w:rPr>
        <w:sz w:val="17"/>
        <w:i w:val="false"/>
        <w:b/>
        <w:rFonts w:ascii="Arial" w:hAnsi="Arial" w:cs="Times New Roman"/>
      </w:rPr>
    </w:lvl>
    <w:lvl w:ilvl="3">
      <w:start w:val="1"/>
      <w:numFmt w:val="lowerLetter"/>
      <w:lvlText w:val="(%4)"/>
      <w:lvlJc w:val="left"/>
      <w:pPr>
        <w:tabs>
          <w:tab w:val="num" w:pos="0"/>
        </w:tabs>
        <w:ind w:left="2041" w:hanging="680"/>
      </w:pPr>
      <w:rPr>
        <w:sz w:val="20"/>
        <w:i w:val="false"/>
        <w:b w:val="false"/>
        <w:rFonts w:ascii="Arial" w:hAnsi="Arial" w:cs="Times New Roman"/>
      </w:rPr>
    </w:lvl>
    <w:lvl w:ilvl="4">
      <w:start w:val="1"/>
      <w:numFmt w:val="lowerRoman"/>
      <w:lvlText w:val="(%5)"/>
      <w:lvlJc w:val="left"/>
      <w:pPr>
        <w:tabs>
          <w:tab w:val="num" w:pos="0"/>
        </w:tabs>
        <w:ind w:left="2608" w:hanging="567"/>
      </w:pPr>
      <w:rPr>
        <w:sz w:val="20"/>
        <w:i w:val="false"/>
        <w:b w:val="false"/>
        <w:rFonts w:ascii="Arial" w:hAnsi="Arial" w:cs="Times New Roman"/>
      </w:rPr>
    </w:lvl>
    <w:lvl w:ilvl="5">
      <w:start w:val="1"/>
      <w:numFmt w:val="upperRoman"/>
      <w:lvlText w:val="(%6)"/>
      <w:lvlJc w:val="left"/>
      <w:pPr>
        <w:tabs>
          <w:tab w:val="num" w:pos="0"/>
        </w:tabs>
        <w:ind w:left="3289" w:hanging="681"/>
      </w:pPr>
      <w:rPr>
        <w:sz w:val="20"/>
        <w:i w:val="false"/>
        <w:b w:val="false"/>
        <w:rFonts w:ascii="Arial" w:hAnsi="Arial" w:cs="Times New Roman"/>
      </w:rPr>
    </w:lvl>
    <w:lvl w:ilvl="6">
      <w:start w:val="1"/>
      <w:numFmt w:val="none"/>
      <w:suff w:val="nothing"/>
      <w:lvlText w:val="%7"/>
      <w:lvlJc w:val="left"/>
      <w:pPr>
        <w:tabs>
          <w:tab w:val="num" w:pos="0"/>
        </w:tabs>
        <w:ind w:left="3240" w:hanging="1080"/>
      </w:pPr>
      <w:rPr/>
    </w:lvl>
    <w:lvl w:ilvl="7">
      <w:start w:val="1"/>
      <w:numFmt w:val="none"/>
      <w:suff w:val="nothing"/>
      <w:lvlText w:val="%8"/>
      <w:lvlJc w:val="left"/>
      <w:pPr>
        <w:tabs>
          <w:tab w:val="num" w:pos="0"/>
        </w:tabs>
        <w:ind w:left="3744" w:hanging="1224"/>
      </w:pPr>
      <w:rPr/>
    </w:lvl>
    <w:lvl w:ilvl="8">
      <w:start w:val="1"/>
      <w:numFmt w:val="none"/>
      <w:suff w:val="nothing"/>
      <w:lvlText w:val="%9"/>
      <w:lvlJc w:val="left"/>
      <w:pPr>
        <w:tabs>
          <w:tab w:val="num" w:pos="0"/>
        </w:tabs>
        <w:ind w:left="4320" w:hanging="1440"/>
      </w:pPr>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bullet"/>
      <w:lvlText w:val=""/>
      <w:lvlJc w:val="left"/>
      <w:pPr>
        <w:tabs>
          <w:tab w:val="num" w:pos="0"/>
        </w:tabs>
        <w:ind w:left="720" w:hanging="720"/>
      </w:pPr>
      <w:rPr>
        <w:rFonts w:ascii="Symbol" w:hAnsi="Symbol" w:cs="Symbol" w:hint="default"/>
      </w:rPr>
    </w:lvl>
    <w:lvl w:ilvl="1">
      <w:start w:val="1"/>
      <w:numFmt w:val="decimal"/>
      <w:lvlText w:val="РАЗДЕЛ %1.%2"/>
      <w:lvlJc w:val="left"/>
      <w:pPr>
        <w:tabs>
          <w:tab w:val="num" w:pos="0"/>
        </w:tabs>
        <w:ind w:left="720" w:hanging="72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4">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15">
    <w:lvl w:ilvl="0">
      <w:start w:val="1"/>
      <w:numFmt w:val="bullet"/>
      <w:lvlText w:val=""/>
      <w:lvlJc w:val="left"/>
      <w:pPr>
        <w:tabs>
          <w:tab w:val="num" w:pos="0"/>
        </w:tabs>
        <w:ind w:left="567" w:hanging="567"/>
      </w:pPr>
      <w:rPr>
        <w:rFonts w:ascii="Symbol" w:hAnsi="Symbol" w:cs="Symbol" w:hint="default"/>
      </w:rPr>
    </w:lvl>
    <w:lvl w:ilvl="1">
      <w:start w:val="1"/>
      <w:numFmt w:val="decimal"/>
      <w:lvlText w:val="%1.%2"/>
      <w:lvlJc w:val="left"/>
      <w:pPr>
        <w:tabs>
          <w:tab w:val="num" w:pos="0"/>
        </w:tabs>
        <w:ind w:left="567" w:hanging="567"/>
      </w:pPr>
      <w:rPr>
        <w:rFonts w:cs="Times New Roman"/>
      </w:rPr>
    </w:lvl>
    <w:lvl w:ilvl="2">
      <w:start w:val="1"/>
      <w:numFmt w:val="none"/>
      <w:suff w:val="nothing"/>
      <w:lvlText w:val="%1.%2.%3"/>
      <w:lvlJc w:val="left"/>
      <w:pPr>
        <w:tabs>
          <w:tab w:val="num" w:pos="0"/>
        </w:tabs>
        <w:ind w:left="720" w:hanging="720"/>
      </w:pPr>
      <w:rPr>
        <w:rFonts w:cs="Times New Roman"/>
      </w:rPr>
    </w:lvl>
    <w:lvl w:ilvl="3">
      <w:start w:val="1"/>
      <w:numFmt w:val="decimal"/>
      <w:lvlText w:val="%1.%2.%3%4"/>
      <w:lvlJc w:val="left"/>
      <w:pPr>
        <w:tabs>
          <w:tab w:val="num" w:pos="0"/>
        </w:tabs>
        <w:ind w:left="864" w:hanging="864"/>
      </w:pPr>
      <w:rPr>
        <w:rFonts w:cs="Times New Roman"/>
      </w:rPr>
    </w:lvl>
    <w:lvl w:ilvl="4">
      <w:start w:val="1"/>
      <w:numFmt w:val="decimal"/>
      <w:lvlText w:val="%1.%2.%3%4.%5"/>
      <w:lvlJc w:val="left"/>
      <w:pPr>
        <w:tabs>
          <w:tab w:val="num" w:pos="0"/>
        </w:tabs>
        <w:ind w:left="1008" w:hanging="1008"/>
      </w:pPr>
      <w:rPr>
        <w:rFonts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16">
    <w:lvl w:ilvl="0">
      <w:start w:val="1"/>
      <w:numFmt w:val="bullet"/>
      <w:lvlText w:val=""/>
      <w:lvlJc w:val="left"/>
      <w:pPr>
        <w:tabs>
          <w:tab w:val="num" w:pos="0"/>
        </w:tabs>
        <w:ind w:left="432" w:hanging="432"/>
      </w:pPr>
      <w:rPr>
        <w:rFonts w:ascii="Symbol" w:hAnsi="Symbol" w:cs="Symbol" w:hint="default"/>
      </w:rPr>
    </w:lvl>
    <w:lvl w:ilvl="1">
      <w:start w:val="1"/>
      <w:numFmt w:val="decimal"/>
      <w:lvlText w:val="%1.%2"/>
      <w:lvlJc w:val="left"/>
      <w:pPr>
        <w:tabs>
          <w:tab w:val="num" w:pos="0"/>
        </w:tabs>
        <w:ind w:left="576" w:hanging="576"/>
      </w:pPr>
      <w:rPr>
        <w:rFonts w:cs="Times New Roman"/>
      </w:rPr>
    </w:lvl>
    <w:lvl w:ilvl="2">
      <w:start w:val="1"/>
      <w:numFmt w:val="decimal"/>
      <w:lvlText w:val="%1.%2.%3"/>
      <w:lvlJc w:val="left"/>
      <w:pPr>
        <w:tabs>
          <w:tab w:val="num" w:pos="0"/>
        </w:tabs>
        <w:ind w:left="0" w:hanging="0"/>
      </w:pPr>
      <w:rPr>
        <w:rFonts w:cs="Times New Roman"/>
      </w:rPr>
    </w:lvl>
    <w:lvl w:ilvl="3">
      <w:start w:val="1"/>
      <w:numFmt w:val="decimal"/>
      <w:lvlText w:val="%1.%2.%3.%4"/>
      <w:lvlJc w:val="left"/>
      <w:pPr>
        <w:tabs>
          <w:tab w:val="num" w:pos="0"/>
        </w:tabs>
        <w:ind w:left="864" w:hanging="864"/>
      </w:pPr>
      <w:rPr>
        <w:rFonts w:cs="Times New Roman"/>
      </w:rPr>
    </w:lvl>
    <w:lvl w:ilvl="4">
      <w:start w:val="1"/>
      <w:numFmt w:val="decimal"/>
      <w:lvlText w:val="%1.%2.%3.%4.%5"/>
      <w:lvlJc w:val="left"/>
      <w:pPr>
        <w:tabs>
          <w:tab w:val="num" w:pos="0"/>
        </w:tabs>
        <w:ind w:left="1008" w:hanging="1008"/>
      </w:pPr>
      <w:rPr>
        <w:rFonts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17">
    <w:lvl w:ilvl="0">
      <w:numFmt w:val="bullet"/>
      <w:lvlText w:val=""/>
      <w:lvlJc w:val="left"/>
      <w:pPr>
        <w:tabs>
          <w:tab w:val="num" w:pos="0"/>
        </w:tabs>
        <w:ind w:left="0" w:hanging="0"/>
      </w:pPr>
      <w:rPr>
        <w:rFonts w:ascii="Symbol" w:hAnsi="Symbol" w:cs="Symbol" w:hint="default"/>
        <w:sz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8">
    <w:lvl w:ilvl="0">
      <w:start w:val="1"/>
      <w:numFmt w:val="bullet"/>
      <w:lvlText w:val=""/>
      <w:lvlJc w:val="left"/>
      <w:pPr>
        <w:tabs>
          <w:tab w:val="num" w:pos="0"/>
        </w:tabs>
        <w:ind w:left="3578" w:hanging="720"/>
      </w:pPr>
      <w:rPr>
        <w:rFonts w:ascii="Symbol" w:hAnsi="Symbol" w:cs="Symbol" w:hint="default"/>
      </w:rPr>
    </w:lvl>
    <w:lvl w:ilvl="1">
      <w:start w:val="1"/>
      <w:numFmt w:val="none"/>
      <w:suff w:val="nothing"/>
      <w:lvlText w:val="%2"/>
      <w:lvlJc w:val="left"/>
      <w:pPr>
        <w:tabs>
          <w:tab w:val="num" w:pos="0"/>
        </w:tabs>
        <w:ind w:left="3434" w:hanging="576"/>
      </w:pPr>
      <w:rPr/>
    </w:lvl>
    <w:lvl w:ilvl="2">
      <w:start w:val="1"/>
      <w:numFmt w:val="none"/>
      <w:suff w:val="nothing"/>
      <w:lvlText w:val="%3"/>
      <w:lvlJc w:val="left"/>
      <w:pPr>
        <w:tabs>
          <w:tab w:val="num" w:pos="0"/>
        </w:tabs>
        <w:ind w:left="3578" w:hanging="720"/>
      </w:pPr>
      <w:rPr/>
    </w:lvl>
    <w:lvl w:ilvl="3">
      <w:start w:val="1"/>
      <w:numFmt w:val="none"/>
      <w:suff w:val="nothing"/>
      <w:lvlText w:val="%4"/>
      <w:lvlJc w:val="left"/>
      <w:pPr>
        <w:tabs>
          <w:tab w:val="num" w:pos="0"/>
        </w:tabs>
        <w:ind w:left="3722" w:hanging="864"/>
      </w:pPr>
      <w:rPr/>
    </w:lvl>
    <w:lvl w:ilvl="4">
      <w:start w:val="1"/>
      <w:numFmt w:val="none"/>
      <w:suff w:val="nothing"/>
      <w:lvlText w:val="%5"/>
      <w:lvlJc w:val="left"/>
      <w:pPr>
        <w:tabs>
          <w:tab w:val="num" w:pos="0"/>
        </w:tabs>
        <w:ind w:left="3866" w:hanging="1008"/>
      </w:pPr>
      <w:rPr/>
    </w:lvl>
    <w:lvl w:ilvl="5">
      <w:start w:val="1"/>
      <w:numFmt w:val="none"/>
      <w:suff w:val="nothing"/>
      <w:lvlText w:val="%6"/>
      <w:lvlJc w:val="left"/>
      <w:pPr>
        <w:tabs>
          <w:tab w:val="num" w:pos="0"/>
        </w:tabs>
        <w:ind w:left="4010" w:hanging="1152"/>
      </w:pPr>
      <w:rPr/>
    </w:lvl>
    <w:lvl w:ilvl="6">
      <w:start w:val="1"/>
      <w:numFmt w:val="none"/>
      <w:suff w:val="nothing"/>
      <w:lvlText w:val="%7"/>
      <w:lvlJc w:val="left"/>
      <w:pPr>
        <w:tabs>
          <w:tab w:val="num" w:pos="0"/>
        </w:tabs>
        <w:ind w:left="4154" w:hanging="1296"/>
      </w:pPr>
      <w:rPr/>
    </w:lvl>
    <w:lvl w:ilvl="7">
      <w:start w:val="1"/>
      <w:numFmt w:val="none"/>
      <w:suff w:val="nothing"/>
      <w:lvlText w:val="%8"/>
      <w:lvlJc w:val="left"/>
      <w:pPr>
        <w:tabs>
          <w:tab w:val="num" w:pos="0"/>
        </w:tabs>
        <w:ind w:left="4298" w:hanging="1440"/>
      </w:pPr>
      <w:rPr/>
    </w:lvl>
    <w:lvl w:ilvl="8">
      <w:start w:val="1"/>
      <w:numFmt w:val="decimal"/>
      <w:lvlText w:val="%1.%2%3%4%5%6%7%8%9"/>
      <w:lvlJc w:val="left"/>
      <w:pPr>
        <w:tabs>
          <w:tab w:val="num" w:pos="0"/>
        </w:tabs>
        <w:ind w:left="4442" w:hanging="1584"/>
      </w:pPr>
      <w:rPr/>
    </w:lvl>
  </w:abstractNum>
  <w:abstractNum w:abstractNumId="19">
    <w:lvl w:ilvl="0">
      <w:start w:val="1"/>
      <w:numFmt w:val="bullet"/>
      <w:lvlText w:val=""/>
      <w:lvlJc w:val="left"/>
      <w:pPr>
        <w:tabs>
          <w:tab w:val="num" w:pos="0"/>
        </w:tabs>
        <w:ind w:left="720" w:hanging="720"/>
      </w:pPr>
      <w:rPr>
        <w:rFonts w:ascii="Symbol" w:hAnsi="Symbol" w:cs="Symbol" w:hint="default"/>
      </w:rPr>
    </w:lvl>
    <w:lvl w:ilvl="1">
      <w:start w:val="1"/>
      <w:numFmt w:val="decimal"/>
      <w:lvlText w:val="%1.%2."/>
      <w:lvlJc w:val="left"/>
      <w:pPr>
        <w:tabs>
          <w:tab w:val="num" w:pos="0"/>
        </w:tabs>
        <w:ind w:left="720" w:hanging="720"/>
      </w:pPr>
      <w:rPr>
        <w:smallCaps w:val="false"/>
        <w:caps w:val="false"/>
        <w:dstrike w:val="false"/>
        <w:strike w:val="false"/>
        <w:vertAlign w:val="baseline"/>
        <w:position w:val="0"/>
        <w:sz w:val="20"/>
        <w:sz w:val="20"/>
        <w:spacing w:val="0"/>
        <w:i w:val="false"/>
        <w:u w:val="none"/>
        <w:b w:val="false"/>
        <w:kern w:val="0"/>
        <w:iCs w:val="false"/>
        <w:bCs w:val="false"/>
        <w:em w:val="none"/>
        <w:vanish w:val="false"/>
        <w:rFonts w:ascii="Times New Roman" w:hAnsi="Times New Roman" w:cs="Times New Roman"/>
        <w:color w:val="000000"/>
      </w:rPr>
    </w:lvl>
    <w:lvl w:ilvl="2">
      <w:start w:val="1"/>
      <w:numFmt w:val="decimal"/>
      <w:lvlText w:val="%1.%2.%3."/>
      <w:lvlJc w:val="left"/>
      <w:pPr>
        <w:tabs>
          <w:tab w:val="num" w:pos="0"/>
        </w:tabs>
        <w:ind w:left="720" w:hanging="720"/>
      </w:pPr>
      <w:rPr/>
    </w:lvl>
    <w:lvl w:ilvl="3">
      <w:start w:val="1"/>
      <w:numFmt w:val="decimal"/>
      <w:suff w:val="space"/>
      <w:lvlText w:val="%1.%2.%3.%4."/>
      <w:lvlJc w:val="left"/>
      <w:pPr>
        <w:tabs>
          <w:tab w:val="num" w:pos="0"/>
        </w:tabs>
        <w:ind w:left="720" w:hanging="720"/>
      </w:pPr>
      <w:rPr>
        <w:b w:val="false"/>
      </w:rPr>
    </w:lvl>
    <w:lvl w:ilvl="4">
      <w:start w:val="1"/>
      <w:numFmt w:val="russianLower"/>
      <w:lvlText w:val="(%5)"/>
      <w:lvlJc w:val="left"/>
      <w:pPr>
        <w:tabs>
          <w:tab w:val="num" w:pos="0"/>
        </w:tabs>
        <w:ind w:left="720" w:hanging="720"/>
      </w:pPr>
      <w:rPr/>
    </w:lvl>
    <w:lvl w:ilvl="5">
      <w:start w:val="1"/>
      <w:numFmt w:val="upperLetter"/>
      <w:lvlText w:val="(%6)"/>
      <w:lvlJc w:val="left"/>
      <w:pPr>
        <w:tabs>
          <w:tab w:val="num" w:pos="0"/>
        </w:tabs>
        <w:ind w:left="720" w:hanging="720"/>
      </w:pPr>
      <w:rPr/>
    </w:lvl>
    <w:lvl w:ilvl="6">
      <w:start w:val="1"/>
      <w:numFmt w:val="decimal"/>
      <w:lvlText w:val="%1.%2.%3.%4.%5.%6.%7."/>
      <w:lvlJc w:val="left"/>
      <w:pPr>
        <w:tabs>
          <w:tab w:val="num" w:pos="0"/>
        </w:tabs>
        <w:ind w:left="720" w:hanging="720"/>
      </w:pPr>
      <w:rPr/>
    </w:lvl>
    <w:lvl w:ilvl="7">
      <w:start w:val="1"/>
      <w:numFmt w:val="decimal"/>
      <w:lvlText w:val="%1.%2.%3.%4.%5.%6.%7.%8."/>
      <w:lvlJc w:val="left"/>
      <w:pPr>
        <w:tabs>
          <w:tab w:val="num" w:pos="0"/>
        </w:tabs>
        <w:ind w:left="720" w:hanging="720"/>
      </w:pPr>
      <w:rPr/>
    </w:lvl>
    <w:lvl w:ilvl="8">
      <w:start w:val="1"/>
      <w:numFmt w:val="decimal"/>
      <w:lvlText w:val="%1.%2.%3.%4.%5.%6.%7.%8.%9."/>
      <w:lvlJc w:val="left"/>
      <w:pPr>
        <w:tabs>
          <w:tab w:val="num" w:pos="0"/>
        </w:tabs>
        <w:ind w:left="720" w:hanging="720"/>
      </w:pPr>
      <w:rPr/>
    </w:lvl>
  </w:abstractNum>
  <w:abstractNum w:abstractNumId="20">
    <w:lvl w:ilvl="0">
      <w:start w:val="1"/>
      <w:numFmt w:val="bullet"/>
      <w:lvlText w:val=""/>
      <w:lvlJc w:val="left"/>
      <w:pPr>
        <w:tabs>
          <w:tab w:val="num" w:pos="0"/>
        </w:tabs>
        <w:ind w:left="720" w:hanging="720"/>
      </w:pPr>
      <w:rPr>
        <w:rFonts w:ascii="Symbol" w:hAnsi="Symbol" w:cs="Symbol" w:hint="defaul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bullet"/>
      <w:lvlText w:val=""/>
      <w:lvlJc w:val="left"/>
      <w:pPr>
        <w:tabs>
          <w:tab w:val="num" w:pos="0"/>
        </w:tabs>
        <w:ind w:left="1440" w:hanging="720"/>
      </w:pPr>
      <w:rPr>
        <w:rFonts w:ascii="Symbol" w:hAnsi="Symbol" w:cs="Symbol" w:hint="default"/>
      </w:rPr>
    </w:lvl>
    <w:lvl w:ilvl="1">
      <w:start w:val="1"/>
      <w:numFmt w:val="none"/>
      <w:suff w:val="nothing"/>
      <w:lvlText w:val="%2"/>
      <w:lvlJc w:val="left"/>
      <w:pPr>
        <w:tabs>
          <w:tab w:val="num" w:pos="0"/>
        </w:tabs>
        <w:ind w:left="720" w:hanging="0"/>
      </w:pPr>
      <w:rPr/>
    </w:lvl>
    <w:lvl w:ilvl="2">
      <w:start w:val="1"/>
      <w:numFmt w:val="none"/>
      <w:suff w:val="nothing"/>
      <w:lvlText w:val="%3"/>
      <w:lvlJc w:val="left"/>
      <w:pPr>
        <w:tabs>
          <w:tab w:val="num" w:pos="0"/>
        </w:tabs>
        <w:ind w:left="720" w:hanging="0"/>
      </w:pPr>
      <w:rPr/>
    </w:lvl>
    <w:lvl w:ilvl="3">
      <w:start w:val="1"/>
      <w:numFmt w:val="none"/>
      <w:suff w:val="nothing"/>
      <w:lvlText w:val="%4"/>
      <w:lvlJc w:val="left"/>
      <w:pPr>
        <w:tabs>
          <w:tab w:val="num" w:pos="0"/>
        </w:tabs>
        <w:ind w:left="720" w:hanging="0"/>
      </w:pPr>
      <w:rPr/>
    </w:lvl>
    <w:lvl w:ilvl="4">
      <w:start w:val="1"/>
      <w:numFmt w:val="none"/>
      <w:suff w:val="nothing"/>
      <w:lvlText w:val="%5"/>
      <w:lvlJc w:val="left"/>
      <w:pPr>
        <w:tabs>
          <w:tab w:val="num" w:pos="0"/>
        </w:tabs>
        <w:ind w:left="720" w:hanging="0"/>
      </w:pPr>
      <w:rPr/>
    </w:lvl>
    <w:lvl w:ilvl="5">
      <w:start w:val="1"/>
      <w:numFmt w:val="none"/>
      <w:suff w:val="nothing"/>
      <w:lvlText w:val="%6"/>
      <w:lvlJc w:val="left"/>
      <w:pPr>
        <w:tabs>
          <w:tab w:val="num" w:pos="0"/>
        </w:tabs>
        <w:ind w:left="720" w:hanging="0"/>
      </w:pPr>
      <w:rPr/>
    </w:lvl>
    <w:lvl w:ilvl="6">
      <w:start w:val="1"/>
      <w:numFmt w:val="none"/>
      <w:suff w:val="nothing"/>
      <w:lvlText w:val="%7"/>
      <w:lvlJc w:val="left"/>
      <w:pPr>
        <w:tabs>
          <w:tab w:val="num" w:pos="0"/>
        </w:tabs>
        <w:ind w:left="720" w:hanging="0"/>
      </w:pPr>
      <w:rPr/>
    </w:lvl>
    <w:lvl w:ilvl="7">
      <w:start w:val="1"/>
      <w:numFmt w:val="none"/>
      <w:suff w:val="nothing"/>
      <w:lvlText w:val="%8"/>
      <w:lvlJc w:val="left"/>
      <w:pPr>
        <w:tabs>
          <w:tab w:val="num" w:pos="0"/>
        </w:tabs>
        <w:ind w:left="720" w:hanging="0"/>
      </w:pPr>
      <w:rPr/>
    </w:lvl>
    <w:lvl w:ilvl="8">
      <w:start w:val="1"/>
      <w:numFmt w:val="none"/>
      <w:suff w:val="nothing"/>
      <w:lvlText w:val="%9"/>
      <w:lvlJc w:val="left"/>
      <w:pPr>
        <w:tabs>
          <w:tab w:val="num" w:pos="0"/>
        </w:tabs>
        <w:ind w:left="720" w:hanging="0"/>
      </w:pPr>
      <w:rPr/>
    </w:lvl>
  </w:abstractNum>
  <w:abstractNum w:abstractNumId="22">
    <w:lvl w:ilvl="0">
      <w:start w:val="1"/>
      <w:numFmt w:val="bullet"/>
      <w:lvlText w:val=""/>
      <w:lvlJc w:val="left"/>
      <w:pPr>
        <w:tabs>
          <w:tab w:val="num" w:pos="0"/>
        </w:tabs>
        <w:ind w:left="2160" w:hanging="720"/>
      </w:pPr>
      <w:rPr>
        <w:rFonts w:ascii="Symbol" w:hAnsi="Symbol" w:cs="Symbol" w:hint="default"/>
      </w:rPr>
    </w:lvl>
    <w:lvl w:ilvl="1">
      <w:start w:val="1"/>
      <w:numFmt w:val="none"/>
      <w:suff w:val="nothing"/>
      <w:lvlText w:val="%2"/>
      <w:lvlJc w:val="left"/>
      <w:pPr>
        <w:tabs>
          <w:tab w:val="num" w:pos="0"/>
        </w:tabs>
        <w:ind w:left="2232" w:hanging="432"/>
      </w:pPr>
      <w:rPr/>
    </w:lvl>
    <w:lvl w:ilvl="2">
      <w:start w:val="1"/>
      <w:numFmt w:val="none"/>
      <w:suff w:val="nothing"/>
      <w:lvlText w:val="%3"/>
      <w:lvlJc w:val="left"/>
      <w:pPr>
        <w:tabs>
          <w:tab w:val="num" w:pos="0"/>
        </w:tabs>
        <w:ind w:left="2664" w:hanging="504"/>
      </w:pPr>
      <w:rPr/>
    </w:lvl>
    <w:lvl w:ilvl="3">
      <w:start w:val="1"/>
      <w:numFmt w:val="none"/>
      <w:suff w:val="nothing"/>
      <w:lvlText w:val="%4"/>
      <w:lvlJc w:val="left"/>
      <w:pPr>
        <w:tabs>
          <w:tab w:val="num" w:pos="0"/>
        </w:tabs>
        <w:ind w:left="3168" w:hanging="648"/>
      </w:pPr>
      <w:rPr/>
    </w:lvl>
    <w:lvl w:ilvl="4">
      <w:start w:val="1"/>
      <w:numFmt w:val="none"/>
      <w:suff w:val="nothing"/>
      <w:lvlText w:val="%5"/>
      <w:lvlJc w:val="left"/>
      <w:pPr>
        <w:tabs>
          <w:tab w:val="num" w:pos="0"/>
        </w:tabs>
        <w:ind w:left="3672" w:hanging="792"/>
      </w:pPr>
      <w:rPr/>
    </w:lvl>
    <w:lvl w:ilvl="5">
      <w:start w:val="1"/>
      <w:numFmt w:val="none"/>
      <w:suff w:val="nothing"/>
      <w:lvlText w:val="%6"/>
      <w:lvlJc w:val="left"/>
      <w:pPr>
        <w:tabs>
          <w:tab w:val="num" w:pos="0"/>
        </w:tabs>
        <w:ind w:left="4176" w:hanging="936"/>
      </w:pPr>
      <w:rPr/>
    </w:lvl>
    <w:lvl w:ilvl="6">
      <w:start w:val="1"/>
      <w:numFmt w:val="none"/>
      <w:suff w:val="nothing"/>
      <w:lvlText w:val="%7"/>
      <w:lvlJc w:val="left"/>
      <w:pPr>
        <w:tabs>
          <w:tab w:val="num" w:pos="0"/>
        </w:tabs>
        <w:ind w:left="4680" w:hanging="1080"/>
      </w:pPr>
      <w:rPr/>
    </w:lvl>
    <w:lvl w:ilvl="7">
      <w:start w:val="1"/>
      <w:numFmt w:val="decimal"/>
      <w:lvlText w:val="%1.%2%3%4%5%6%7%8."/>
      <w:lvlJc w:val="left"/>
      <w:pPr>
        <w:tabs>
          <w:tab w:val="num" w:pos="0"/>
        </w:tabs>
        <w:ind w:left="5184" w:hanging="1224"/>
      </w:pPr>
      <w:rPr/>
    </w:lvl>
    <w:lvl w:ilvl="8">
      <w:start w:val="1"/>
      <w:numFmt w:val="decimal"/>
      <w:lvlText w:val="%1.%2%3%4%5%6%7%8.%9."/>
      <w:lvlJc w:val="left"/>
      <w:pPr>
        <w:tabs>
          <w:tab w:val="num" w:pos="0"/>
        </w:tabs>
        <w:ind w:left="5760" w:hanging="1440"/>
      </w:pPr>
      <w:rPr/>
    </w:lvl>
  </w:abstractNum>
  <w:abstractNum w:abstractNumId="23">
    <w:lvl w:ilvl="0">
      <w:start w:val="1"/>
      <w:numFmt w:val="bullet"/>
      <w:lvlText w:val=""/>
      <w:lvlJc w:val="left"/>
      <w:pPr>
        <w:tabs>
          <w:tab w:val="num" w:pos="0"/>
        </w:tabs>
        <w:ind w:left="2880" w:hanging="720"/>
      </w:pPr>
      <w:rPr>
        <w:rFonts w:ascii="Symbol" w:hAnsi="Symbol" w:cs="Symbol" w:hint="default"/>
      </w:rPr>
    </w:lvl>
    <w:lvl w:ilvl="1">
      <w:start w:val="1"/>
      <w:numFmt w:val="none"/>
      <w:suff w:val="nothing"/>
      <w:lvlText w:val="%2"/>
      <w:lvlJc w:val="left"/>
      <w:pPr>
        <w:tabs>
          <w:tab w:val="num" w:pos="0"/>
        </w:tabs>
        <w:ind w:left="2952" w:hanging="432"/>
      </w:pPr>
      <w:rPr/>
    </w:lvl>
    <w:lvl w:ilvl="2">
      <w:start w:val="1"/>
      <w:numFmt w:val="none"/>
      <w:suff w:val="nothing"/>
      <w:lvlText w:val="%3"/>
      <w:lvlJc w:val="left"/>
      <w:pPr>
        <w:tabs>
          <w:tab w:val="num" w:pos="0"/>
        </w:tabs>
        <w:ind w:left="3384" w:hanging="504"/>
      </w:pPr>
      <w:rPr/>
    </w:lvl>
    <w:lvl w:ilvl="3">
      <w:start w:val="1"/>
      <w:numFmt w:val="none"/>
      <w:suff w:val="nothing"/>
      <w:lvlText w:val="%4"/>
      <w:lvlJc w:val="left"/>
      <w:pPr>
        <w:tabs>
          <w:tab w:val="num" w:pos="0"/>
        </w:tabs>
        <w:ind w:left="3888" w:hanging="648"/>
      </w:pPr>
      <w:rPr/>
    </w:lvl>
    <w:lvl w:ilvl="4">
      <w:start w:val="1"/>
      <w:numFmt w:val="none"/>
      <w:suff w:val="nothing"/>
      <w:lvlText w:val="%5"/>
      <w:lvlJc w:val="left"/>
      <w:pPr>
        <w:tabs>
          <w:tab w:val="num" w:pos="0"/>
        </w:tabs>
        <w:ind w:left="4392" w:hanging="792"/>
      </w:pPr>
      <w:rPr/>
    </w:lvl>
    <w:lvl w:ilvl="5">
      <w:start w:val="1"/>
      <w:numFmt w:val="none"/>
      <w:suff w:val="nothing"/>
      <w:lvlText w:val="%6"/>
      <w:lvlJc w:val="left"/>
      <w:pPr>
        <w:tabs>
          <w:tab w:val="num" w:pos="0"/>
        </w:tabs>
        <w:ind w:left="4896" w:hanging="936"/>
      </w:pPr>
      <w:rPr/>
    </w:lvl>
    <w:lvl w:ilvl="6">
      <w:start w:val="1"/>
      <w:numFmt w:val="none"/>
      <w:suff w:val="nothing"/>
      <w:lvlText w:val="%7"/>
      <w:lvlJc w:val="left"/>
      <w:pPr>
        <w:tabs>
          <w:tab w:val="num" w:pos="0"/>
        </w:tabs>
        <w:ind w:left="5400" w:hanging="1080"/>
      </w:pPr>
      <w:rPr/>
    </w:lvl>
    <w:lvl w:ilvl="7">
      <w:start w:val="1"/>
      <w:numFmt w:val="decimal"/>
      <w:lvlText w:val="%1.%2%3%4%5%6%7%8."/>
      <w:lvlJc w:val="left"/>
      <w:pPr>
        <w:tabs>
          <w:tab w:val="num" w:pos="0"/>
        </w:tabs>
        <w:ind w:left="5904" w:hanging="1224"/>
      </w:pPr>
      <w:rPr/>
    </w:lvl>
    <w:lvl w:ilvl="8">
      <w:start w:val="1"/>
      <w:numFmt w:val="decimal"/>
      <w:lvlText w:val="%1.%2%3%4%5%6%7%8.%9."/>
      <w:lvlJc w:val="left"/>
      <w:pPr>
        <w:tabs>
          <w:tab w:val="num" w:pos="0"/>
        </w:tabs>
        <w:ind w:left="6480" w:hanging="1440"/>
      </w:pPr>
      <w:rPr/>
    </w:lvl>
  </w:abstractNum>
  <w:abstractNum w:abstractNumId="24">
    <w:lvl w:ilvl="0">
      <w:start w:val="1"/>
      <w:numFmt w:val="decimal"/>
      <w:lvlText w:val="(%1)"/>
      <w:lvlJc w:val="left"/>
      <w:pPr>
        <w:tabs>
          <w:tab w:val="num" w:pos="0"/>
        </w:tabs>
        <w:ind w:left="3578" w:hanging="720"/>
      </w:pPr>
      <w:rPr/>
    </w:lvl>
    <w:lvl w:ilvl="1">
      <w:start w:val="1"/>
      <w:numFmt w:val="none"/>
      <w:suff w:val="nothing"/>
      <w:lvlText w:val="%2"/>
      <w:lvlJc w:val="left"/>
      <w:pPr>
        <w:tabs>
          <w:tab w:val="num" w:pos="0"/>
        </w:tabs>
        <w:ind w:left="3650" w:hanging="432"/>
      </w:pPr>
      <w:rPr/>
    </w:lvl>
    <w:lvl w:ilvl="2">
      <w:start w:val="1"/>
      <w:numFmt w:val="none"/>
      <w:suff w:val="nothing"/>
      <w:lvlText w:val="%3"/>
      <w:lvlJc w:val="left"/>
      <w:pPr>
        <w:tabs>
          <w:tab w:val="num" w:pos="0"/>
        </w:tabs>
        <w:ind w:left="4082" w:hanging="504"/>
      </w:pPr>
      <w:rPr/>
    </w:lvl>
    <w:lvl w:ilvl="3">
      <w:start w:val="1"/>
      <w:numFmt w:val="none"/>
      <w:suff w:val="nothing"/>
      <w:lvlText w:val="%4"/>
      <w:lvlJc w:val="left"/>
      <w:pPr>
        <w:tabs>
          <w:tab w:val="num" w:pos="0"/>
        </w:tabs>
        <w:ind w:left="4586" w:hanging="648"/>
      </w:pPr>
      <w:rPr/>
    </w:lvl>
    <w:lvl w:ilvl="4">
      <w:start w:val="1"/>
      <w:numFmt w:val="none"/>
      <w:suff w:val="nothing"/>
      <w:lvlText w:val="%5"/>
      <w:lvlJc w:val="left"/>
      <w:pPr>
        <w:tabs>
          <w:tab w:val="num" w:pos="0"/>
        </w:tabs>
        <w:ind w:left="5090" w:hanging="792"/>
      </w:pPr>
      <w:rPr/>
    </w:lvl>
    <w:lvl w:ilvl="5">
      <w:start w:val="1"/>
      <w:numFmt w:val="none"/>
      <w:suff w:val="nothing"/>
      <w:lvlText w:val="%6"/>
      <w:lvlJc w:val="left"/>
      <w:pPr>
        <w:tabs>
          <w:tab w:val="num" w:pos="0"/>
        </w:tabs>
        <w:ind w:left="5594" w:hanging="936"/>
      </w:pPr>
      <w:rPr/>
    </w:lvl>
    <w:lvl w:ilvl="6">
      <w:start w:val="1"/>
      <w:numFmt w:val="none"/>
      <w:suff w:val="nothing"/>
      <w:lvlText w:val="%7"/>
      <w:lvlJc w:val="left"/>
      <w:pPr>
        <w:tabs>
          <w:tab w:val="num" w:pos="0"/>
        </w:tabs>
        <w:ind w:left="6098" w:hanging="1080"/>
      </w:pPr>
      <w:rPr/>
    </w:lvl>
    <w:lvl w:ilvl="7">
      <w:start w:val="1"/>
      <w:numFmt w:val="decimal"/>
      <w:lvlText w:val="%1.%2%3%4%5%6%7%8."/>
      <w:lvlJc w:val="left"/>
      <w:pPr>
        <w:tabs>
          <w:tab w:val="num" w:pos="0"/>
        </w:tabs>
        <w:ind w:left="6602" w:hanging="1224"/>
      </w:pPr>
      <w:rPr/>
    </w:lvl>
    <w:lvl w:ilvl="8">
      <w:start w:val="1"/>
      <w:numFmt w:val="decimal"/>
      <w:lvlText w:val="%1.%2%3%4%5%6%7%8.%9."/>
      <w:lvlJc w:val="left"/>
      <w:pPr>
        <w:tabs>
          <w:tab w:val="num" w:pos="0"/>
        </w:tabs>
        <w:ind w:left="7178" w:hanging="1440"/>
      </w:pPr>
      <w:rPr/>
    </w:lvl>
  </w:abstractNum>
  <w:abstractNum w:abstractNumId="25">
    <w:lvl w:ilvl="0">
      <w:start w:val="1"/>
      <w:numFmt w:val="decimal"/>
      <w:lvlText w:val="(%1)"/>
      <w:lvlJc w:val="left"/>
      <w:pPr>
        <w:tabs>
          <w:tab w:val="num" w:pos="0"/>
        </w:tabs>
        <w:ind w:left="4241" w:hanging="720"/>
      </w:pPr>
      <w:rPr/>
    </w:lvl>
    <w:lvl w:ilvl="1">
      <w:start w:val="1"/>
      <w:numFmt w:val="none"/>
      <w:suff w:val="nothing"/>
      <w:lvlText w:val="%2"/>
      <w:lvlJc w:val="left"/>
      <w:pPr>
        <w:tabs>
          <w:tab w:val="num" w:pos="0"/>
        </w:tabs>
        <w:ind w:left="4313" w:hanging="432"/>
      </w:pPr>
      <w:rPr/>
    </w:lvl>
    <w:lvl w:ilvl="2">
      <w:start w:val="1"/>
      <w:numFmt w:val="none"/>
      <w:suff w:val="nothing"/>
      <w:lvlText w:val="%3"/>
      <w:lvlJc w:val="left"/>
      <w:pPr>
        <w:tabs>
          <w:tab w:val="num" w:pos="0"/>
        </w:tabs>
        <w:ind w:left="4745" w:hanging="504"/>
      </w:pPr>
      <w:rPr/>
    </w:lvl>
    <w:lvl w:ilvl="3">
      <w:start w:val="1"/>
      <w:numFmt w:val="none"/>
      <w:suff w:val="nothing"/>
      <w:lvlText w:val="%4"/>
      <w:lvlJc w:val="left"/>
      <w:pPr>
        <w:tabs>
          <w:tab w:val="num" w:pos="0"/>
        </w:tabs>
        <w:ind w:left="5249" w:hanging="648"/>
      </w:pPr>
      <w:rPr/>
    </w:lvl>
    <w:lvl w:ilvl="4">
      <w:start w:val="1"/>
      <w:numFmt w:val="none"/>
      <w:suff w:val="nothing"/>
      <w:lvlText w:val="%5"/>
      <w:lvlJc w:val="left"/>
      <w:pPr>
        <w:tabs>
          <w:tab w:val="num" w:pos="0"/>
        </w:tabs>
        <w:ind w:left="5753" w:hanging="792"/>
      </w:pPr>
      <w:rPr/>
    </w:lvl>
    <w:lvl w:ilvl="5">
      <w:start w:val="1"/>
      <w:numFmt w:val="none"/>
      <w:suff w:val="nothing"/>
      <w:lvlText w:val="%6"/>
      <w:lvlJc w:val="left"/>
      <w:pPr>
        <w:tabs>
          <w:tab w:val="num" w:pos="0"/>
        </w:tabs>
        <w:ind w:left="6257" w:hanging="936"/>
      </w:pPr>
      <w:rPr/>
    </w:lvl>
    <w:lvl w:ilvl="6">
      <w:start w:val="1"/>
      <w:numFmt w:val="none"/>
      <w:suff w:val="nothing"/>
      <w:lvlText w:val="%7"/>
      <w:lvlJc w:val="left"/>
      <w:pPr>
        <w:tabs>
          <w:tab w:val="num" w:pos="0"/>
        </w:tabs>
        <w:ind w:left="6761" w:hanging="1080"/>
      </w:pPr>
      <w:rPr/>
    </w:lvl>
    <w:lvl w:ilvl="7">
      <w:start w:val="1"/>
      <w:numFmt w:val="decimal"/>
      <w:lvlText w:val="%1.%2%3%4%5%6%7%8."/>
      <w:lvlJc w:val="left"/>
      <w:pPr>
        <w:tabs>
          <w:tab w:val="num" w:pos="0"/>
        </w:tabs>
        <w:ind w:left="7265" w:hanging="1224"/>
      </w:pPr>
      <w:rPr/>
    </w:lvl>
    <w:lvl w:ilvl="8">
      <w:start w:val="1"/>
      <w:numFmt w:val="decimal"/>
      <w:lvlText w:val="%1.%2%3%4%5%6%7%8.%9."/>
      <w:lvlJc w:val="left"/>
      <w:pPr>
        <w:tabs>
          <w:tab w:val="num" w:pos="0"/>
        </w:tabs>
        <w:ind w:left="7841" w:hanging="1440"/>
      </w:pPr>
      <w:rPr/>
    </w:lvl>
  </w:abstractNum>
  <w:abstractNum w:abstractNumId="26">
    <w:lvl w:ilvl="0">
      <w:start w:val="1"/>
      <w:numFmt w:val="lowerLetter"/>
      <w:lvlText w:val="(%1)"/>
      <w:lvlJc w:val="left"/>
      <w:pPr>
        <w:tabs>
          <w:tab w:val="num" w:pos="0"/>
        </w:tabs>
        <w:ind w:left="720" w:hanging="720"/>
      </w:pPr>
      <w:rPr/>
    </w:lvl>
    <w:lvl w:ilvl="1">
      <w:start w:val="1"/>
      <w:numFmt w:val="none"/>
      <w:suff w:val="nothing"/>
      <w:lvlText w:val="%2"/>
      <w:lvlJc w:val="left"/>
      <w:pPr>
        <w:tabs>
          <w:tab w:val="num" w:pos="0"/>
        </w:tabs>
        <w:ind w:left="576" w:hanging="576"/>
      </w:pPr>
      <w:rPr/>
    </w:lvl>
    <w:lvl w:ilvl="2">
      <w:start w:val="1"/>
      <w:numFmt w:val="none"/>
      <w:suff w:val="nothing"/>
      <w:lvlText w:val="%3"/>
      <w:lvlJc w:val="left"/>
      <w:pPr>
        <w:tabs>
          <w:tab w:val="num" w:pos="0"/>
        </w:tabs>
        <w:ind w:left="720" w:hanging="720"/>
      </w:pPr>
      <w:rPr/>
    </w:lvl>
    <w:lvl w:ilvl="3">
      <w:start w:val="1"/>
      <w:numFmt w:val="none"/>
      <w:suff w:val="nothing"/>
      <w:lvlText w:val="%4"/>
      <w:lvlJc w:val="left"/>
      <w:pPr>
        <w:tabs>
          <w:tab w:val="num" w:pos="0"/>
        </w:tabs>
        <w:ind w:left="864" w:hanging="864"/>
      </w:pPr>
      <w:rPr/>
    </w:lvl>
    <w:lvl w:ilvl="4">
      <w:start w:val="1"/>
      <w:numFmt w:val="none"/>
      <w:suff w:val="nothing"/>
      <w:lvlText w:val="%5"/>
      <w:lvlJc w:val="left"/>
      <w:pPr>
        <w:tabs>
          <w:tab w:val="num" w:pos="0"/>
        </w:tabs>
        <w:ind w:left="1008" w:hanging="1008"/>
      </w:pPr>
      <w:rPr/>
    </w:lvl>
    <w:lvl w:ilvl="5">
      <w:start w:val="1"/>
      <w:numFmt w:val="none"/>
      <w:suff w:val="nothing"/>
      <w:lvlText w:val="%6"/>
      <w:lvlJc w:val="left"/>
      <w:pPr>
        <w:tabs>
          <w:tab w:val="num" w:pos="0"/>
        </w:tabs>
        <w:ind w:left="1152" w:hanging="1152"/>
      </w:pPr>
      <w:rPr/>
    </w:lvl>
    <w:lvl w:ilvl="6">
      <w:start w:val="1"/>
      <w:numFmt w:val="none"/>
      <w:suff w:val="nothing"/>
      <w:lvlText w:val="%7"/>
      <w:lvlJc w:val="left"/>
      <w:pPr>
        <w:tabs>
          <w:tab w:val="num" w:pos="0"/>
        </w:tabs>
        <w:ind w:left="1296" w:hanging="1296"/>
      </w:pPr>
      <w:rPr/>
    </w:lvl>
    <w:lvl w:ilvl="7">
      <w:start w:val="1"/>
      <w:numFmt w:val="none"/>
      <w:suff w:val="nothing"/>
      <w:lvlText w:val="%8"/>
      <w:lvlJc w:val="left"/>
      <w:pPr>
        <w:tabs>
          <w:tab w:val="num" w:pos="0"/>
        </w:tabs>
        <w:ind w:left="1440" w:hanging="1440"/>
      </w:pPr>
      <w:rPr/>
    </w:lvl>
    <w:lvl w:ilvl="8">
      <w:start w:val="1"/>
      <w:numFmt w:val="decimal"/>
      <w:lvlText w:val="%1.%2%3%4%5%6%7%8%9"/>
      <w:lvlJc w:val="left"/>
      <w:pPr>
        <w:tabs>
          <w:tab w:val="num" w:pos="0"/>
        </w:tabs>
        <w:ind w:left="1584" w:hanging="1584"/>
      </w:pPr>
      <w:rPr/>
    </w:lvl>
  </w:abstractNum>
  <w:abstractNum w:abstractNumId="27">
    <w:lvl w:ilvl="0">
      <w:start w:val="1"/>
      <w:numFmt w:val="lowerLetter"/>
      <w:lvlText w:val="(%1)"/>
      <w:lvlJc w:val="left"/>
      <w:pPr>
        <w:tabs>
          <w:tab w:val="num" w:pos="0"/>
        </w:tabs>
        <w:ind w:left="1440" w:hanging="720"/>
      </w:pPr>
      <w:rPr>
        <w:smallCaps w:val="false"/>
        <w:caps w:val="false"/>
        <w:dstrike w:val="false"/>
        <w:strike w:val="false"/>
        <w:vertAlign w:val="baseline"/>
        <w:position w:val="0"/>
        <w:sz w:val="22"/>
        <w:sz w:val="22"/>
        <w:spacing w:val="0"/>
        <w:i w:val="false"/>
        <w:u w:val="none"/>
        <w:b w:val="false"/>
        <w:kern w:val="0"/>
        <w:iCs w:val="false"/>
        <w:bCs w:val="false"/>
        <w:em w:val="none"/>
        <w:vanish w:val="false"/>
        <w:color w:val="000000"/>
      </w:rPr>
    </w:lvl>
    <w:lvl w:ilvl="1">
      <w:start w:val="1"/>
      <w:numFmt w:val="none"/>
      <w:suff w:val="nothing"/>
      <w:lvlText w:val="%2"/>
      <w:lvlJc w:val="left"/>
      <w:pPr>
        <w:tabs>
          <w:tab w:val="num" w:pos="0"/>
        </w:tabs>
        <w:ind w:left="1296" w:hanging="576"/>
      </w:pPr>
      <w:rPr/>
    </w:lvl>
    <w:lvl w:ilvl="2">
      <w:start w:val="1"/>
      <w:numFmt w:val="none"/>
      <w:suff w:val="nothing"/>
      <w:lvlText w:val="%3"/>
      <w:lvlJc w:val="left"/>
      <w:pPr>
        <w:tabs>
          <w:tab w:val="num" w:pos="0"/>
        </w:tabs>
        <w:ind w:left="1440" w:hanging="720"/>
      </w:pPr>
      <w:rPr/>
    </w:lvl>
    <w:lvl w:ilvl="3">
      <w:start w:val="1"/>
      <w:numFmt w:val="none"/>
      <w:suff w:val="nothing"/>
      <w:lvlText w:val="%4"/>
      <w:lvlJc w:val="left"/>
      <w:pPr>
        <w:tabs>
          <w:tab w:val="num" w:pos="0"/>
        </w:tabs>
        <w:ind w:left="1584" w:hanging="864"/>
      </w:pPr>
      <w:rPr/>
    </w:lvl>
    <w:lvl w:ilvl="4">
      <w:start w:val="1"/>
      <w:numFmt w:val="none"/>
      <w:suff w:val="nothing"/>
      <w:lvlText w:val="%5"/>
      <w:lvlJc w:val="left"/>
      <w:pPr>
        <w:tabs>
          <w:tab w:val="num" w:pos="0"/>
        </w:tabs>
        <w:ind w:left="1728" w:hanging="1008"/>
      </w:pPr>
      <w:rPr/>
    </w:lvl>
    <w:lvl w:ilvl="5">
      <w:start w:val="1"/>
      <w:numFmt w:val="none"/>
      <w:suff w:val="nothing"/>
      <w:lvlText w:val="%6"/>
      <w:lvlJc w:val="left"/>
      <w:pPr>
        <w:tabs>
          <w:tab w:val="num" w:pos="0"/>
        </w:tabs>
        <w:ind w:left="1872" w:hanging="1152"/>
      </w:pPr>
      <w:rPr/>
    </w:lvl>
    <w:lvl w:ilvl="6">
      <w:start w:val="1"/>
      <w:numFmt w:val="none"/>
      <w:suff w:val="nothing"/>
      <w:lvlText w:val="%7"/>
      <w:lvlJc w:val="left"/>
      <w:pPr>
        <w:tabs>
          <w:tab w:val="num" w:pos="0"/>
        </w:tabs>
        <w:ind w:left="2016" w:hanging="1296"/>
      </w:pPr>
      <w:rPr/>
    </w:lvl>
    <w:lvl w:ilvl="7">
      <w:start w:val="1"/>
      <w:numFmt w:val="none"/>
      <w:suff w:val="nothing"/>
      <w:lvlText w:val="%8"/>
      <w:lvlJc w:val="left"/>
      <w:pPr>
        <w:tabs>
          <w:tab w:val="num" w:pos="0"/>
        </w:tabs>
        <w:ind w:left="2160" w:hanging="1440"/>
      </w:pPr>
      <w:rPr/>
    </w:lvl>
    <w:lvl w:ilvl="8">
      <w:start w:val="1"/>
      <w:numFmt w:val="decimal"/>
      <w:lvlText w:val="%1.%2%3%4%5%6%7%8%9"/>
      <w:lvlJc w:val="left"/>
      <w:pPr>
        <w:tabs>
          <w:tab w:val="num" w:pos="0"/>
        </w:tabs>
        <w:ind w:left="2304" w:hanging="1584"/>
      </w:pPr>
      <w:rPr/>
    </w:lvl>
  </w:abstractNum>
  <w:abstractNum w:abstractNumId="28">
    <w:lvl w:ilvl="0">
      <w:start w:val="1"/>
      <w:numFmt w:val="lowerLetter"/>
      <w:lvlText w:val="(%1)"/>
      <w:lvlJc w:val="left"/>
      <w:pPr>
        <w:tabs>
          <w:tab w:val="num" w:pos="0"/>
        </w:tabs>
        <w:ind w:left="2160" w:hanging="720"/>
      </w:pPr>
      <w:rPr>
        <w:smallCaps w:val="false"/>
        <w:caps w:val="false"/>
        <w:dstrike w:val="false"/>
        <w:strike w:val="false"/>
        <w:vertAlign w:val="baseline"/>
        <w:position w:val="0"/>
        <w:sz w:val="22"/>
        <w:sz w:val="22"/>
        <w:spacing w:val="0"/>
        <w:i w:val="false"/>
        <w:u w:val="none"/>
        <w:b w:val="false"/>
        <w:kern w:val="0"/>
        <w:iCs w:val="false"/>
        <w:bCs w:val="false"/>
        <w:em w:val="none"/>
        <w:vanish w:val="false"/>
        <w:rFonts w:ascii="Times New Roman" w:hAnsi="Times New Roman"/>
        <w:color w:val="000000"/>
      </w:rPr>
    </w:lvl>
    <w:lvl w:ilvl="1">
      <w:start w:val="1"/>
      <w:numFmt w:val="none"/>
      <w:suff w:val="nothing"/>
      <w:lvlText w:val="%2"/>
      <w:lvlJc w:val="left"/>
      <w:pPr>
        <w:tabs>
          <w:tab w:val="num" w:pos="0"/>
        </w:tabs>
        <w:ind w:left="2016" w:hanging="576"/>
      </w:pPr>
      <w:rPr/>
    </w:lvl>
    <w:lvl w:ilvl="2">
      <w:start w:val="1"/>
      <w:numFmt w:val="none"/>
      <w:suff w:val="nothing"/>
      <w:lvlText w:val="%3"/>
      <w:lvlJc w:val="left"/>
      <w:pPr>
        <w:tabs>
          <w:tab w:val="num" w:pos="0"/>
        </w:tabs>
        <w:ind w:left="2160" w:hanging="720"/>
      </w:pPr>
      <w:rPr/>
    </w:lvl>
    <w:lvl w:ilvl="3">
      <w:start w:val="1"/>
      <w:numFmt w:val="none"/>
      <w:suff w:val="nothing"/>
      <w:lvlText w:val="%4"/>
      <w:lvlJc w:val="left"/>
      <w:pPr>
        <w:tabs>
          <w:tab w:val="num" w:pos="0"/>
        </w:tabs>
        <w:ind w:left="2304" w:hanging="864"/>
      </w:pPr>
      <w:rPr/>
    </w:lvl>
    <w:lvl w:ilvl="4">
      <w:start w:val="1"/>
      <w:numFmt w:val="none"/>
      <w:suff w:val="nothing"/>
      <w:lvlText w:val="%5"/>
      <w:lvlJc w:val="left"/>
      <w:pPr>
        <w:tabs>
          <w:tab w:val="num" w:pos="0"/>
        </w:tabs>
        <w:ind w:left="2448" w:hanging="1008"/>
      </w:pPr>
      <w:rPr/>
    </w:lvl>
    <w:lvl w:ilvl="5">
      <w:start w:val="1"/>
      <w:numFmt w:val="none"/>
      <w:suff w:val="nothing"/>
      <w:lvlText w:val="%6"/>
      <w:lvlJc w:val="left"/>
      <w:pPr>
        <w:tabs>
          <w:tab w:val="num" w:pos="0"/>
        </w:tabs>
        <w:ind w:left="2592" w:hanging="1152"/>
      </w:pPr>
      <w:rPr/>
    </w:lvl>
    <w:lvl w:ilvl="6">
      <w:start w:val="1"/>
      <w:numFmt w:val="none"/>
      <w:suff w:val="nothing"/>
      <w:lvlText w:val="%7"/>
      <w:lvlJc w:val="left"/>
      <w:pPr>
        <w:tabs>
          <w:tab w:val="num" w:pos="0"/>
        </w:tabs>
        <w:ind w:left="2736" w:hanging="1296"/>
      </w:pPr>
      <w:rPr/>
    </w:lvl>
    <w:lvl w:ilvl="7">
      <w:start w:val="1"/>
      <w:numFmt w:val="none"/>
      <w:suff w:val="nothing"/>
      <w:lvlText w:val="%8"/>
      <w:lvlJc w:val="left"/>
      <w:pPr>
        <w:tabs>
          <w:tab w:val="num" w:pos="0"/>
        </w:tabs>
        <w:ind w:left="2880" w:hanging="1440"/>
      </w:pPr>
      <w:rPr/>
    </w:lvl>
    <w:lvl w:ilvl="8">
      <w:start w:val="1"/>
      <w:numFmt w:val="decimal"/>
      <w:lvlText w:val="%1.%2%3%4%5%6%7%8%9"/>
      <w:lvlJc w:val="left"/>
      <w:pPr>
        <w:tabs>
          <w:tab w:val="num" w:pos="0"/>
        </w:tabs>
        <w:ind w:left="3024" w:hanging="1584"/>
      </w:pPr>
      <w:rPr/>
    </w:lvl>
  </w:abstractNum>
  <w:abstractNum w:abstractNumId="29">
    <w:lvl w:ilvl="0">
      <w:start w:val="1"/>
      <w:numFmt w:val="lowerLetter"/>
      <w:lvlText w:val="(%1)"/>
      <w:lvlJc w:val="left"/>
      <w:pPr>
        <w:tabs>
          <w:tab w:val="num" w:pos="0"/>
        </w:tabs>
        <w:ind w:left="2880" w:hanging="720"/>
      </w:pPr>
      <w:rPr>
        <w:sz w:val="22"/>
        <w:rFonts w:ascii="Times New Roman" w:hAnsi="Times New Roman"/>
      </w:rPr>
    </w:lvl>
    <w:lvl w:ilvl="1">
      <w:start w:val="1"/>
      <w:numFmt w:val="none"/>
      <w:suff w:val="nothing"/>
      <w:lvlText w:val="%2"/>
      <w:lvlJc w:val="left"/>
      <w:pPr>
        <w:tabs>
          <w:tab w:val="num" w:pos="0"/>
        </w:tabs>
        <w:ind w:left="2736" w:hanging="576"/>
      </w:pPr>
      <w:rPr/>
    </w:lvl>
    <w:lvl w:ilvl="2">
      <w:start w:val="1"/>
      <w:numFmt w:val="none"/>
      <w:suff w:val="nothing"/>
      <w:lvlText w:val="%3"/>
      <w:lvlJc w:val="left"/>
      <w:pPr>
        <w:tabs>
          <w:tab w:val="num" w:pos="0"/>
        </w:tabs>
        <w:ind w:left="2880" w:hanging="720"/>
      </w:pPr>
      <w:rPr/>
    </w:lvl>
    <w:lvl w:ilvl="3">
      <w:start w:val="1"/>
      <w:numFmt w:val="none"/>
      <w:suff w:val="nothing"/>
      <w:lvlText w:val="%4"/>
      <w:lvlJc w:val="left"/>
      <w:pPr>
        <w:tabs>
          <w:tab w:val="num" w:pos="0"/>
        </w:tabs>
        <w:ind w:left="3024" w:hanging="864"/>
      </w:pPr>
      <w:rPr/>
    </w:lvl>
    <w:lvl w:ilvl="4">
      <w:start w:val="1"/>
      <w:numFmt w:val="none"/>
      <w:suff w:val="nothing"/>
      <w:lvlText w:val="%5"/>
      <w:lvlJc w:val="left"/>
      <w:pPr>
        <w:tabs>
          <w:tab w:val="num" w:pos="0"/>
        </w:tabs>
        <w:ind w:left="3168" w:hanging="1008"/>
      </w:pPr>
      <w:rPr/>
    </w:lvl>
    <w:lvl w:ilvl="5">
      <w:start w:val="1"/>
      <w:numFmt w:val="none"/>
      <w:suff w:val="nothing"/>
      <w:lvlText w:val="%6"/>
      <w:lvlJc w:val="left"/>
      <w:pPr>
        <w:tabs>
          <w:tab w:val="num" w:pos="0"/>
        </w:tabs>
        <w:ind w:left="3312" w:hanging="1152"/>
      </w:pPr>
      <w:rPr/>
    </w:lvl>
    <w:lvl w:ilvl="6">
      <w:start w:val="1"/>
      <w:numFmt w:val="none"/>
      <w:suff w:val="nothing"/>
      <w:lvlText w:val="%7"/>
      <w:lvlJc w:val="left"/>
      <w:pPr>
        <w:tabs>
          <w:tab w:val="num" w:pos="0"/>
        </w:tabs>
        <w:ind w:left="3456" w:hanging="1296"/>
      </w:pPr>
      <w:rPr/>
    </w:lvl>
    <w:lvl w:ilvl="7">
      <w:start w:val="1"/>
      <w:numFmt w:val="none"/>
      <w:suff w:val="nothing"/>
      <w:lvlText w:val="%8"/>
      <w:lvlJc w:val="left"/>
      <w:pPr>
        <w:tabs>
          <w:tab w:val="num" w:pos="0"/>
        </w:tabs>
        <w:ind w:left="3600" w:hanging="1440"/>
      </w:pPr>
      <w:rPr/>
    </w:lvl>
    <w:lvl w:ilvl="8">
      <w:start w:val="1"/>
      <w:numFmt w:val="decimal"/>
      <w:lvlText w:val="%1.%2%3%4%5%6%7%8%9"/>
      <w:lvlJc w:val="left"/>
      <w:pPr>
        <w:tabs>
          <w:tab w:val="num" w:pos="0"/>
        </w:tabs>
        <w:ind w:left="3744" w:hanging="1584"/>
      </w:pPr>
      <w:rPr/>
    </w:lvl>
  </w:abstractNum>
  <w:abstractNum w:abstractNumId="30">
    <w:lvl w:ilvl="0">
      <w:start w:val="1"/>
      <w:numFmt w:val="decimal"/>
      <w:lvlText w:val="%1."/>
      <w:lvlJc w:val="left"/>
      <w:pPr>
        <w:tabs>
          <w:tab w:val="num" w:pos="0"/>
        </w:tabs>
        <w:ind w:left="720" w:hanging="720"/>
      </w:pPr>
      <w:rPr>
        <w:sz w:val="22"/>
        <w:i w:val="false"/>
        <w:u w:val="none"/>
        <w:b/>
        <w:rFonts w:ascii="Times New Roman" w:hAnsi="Times New Roman"/>
      </w:rPr>
    </w:lvl>
    <w:lvl w:ilvl="1">
      <w:start w:val="1"/>
      <w:numFmt w:val="decimal"/>
      <w:lvlText w:val="%1.%2"/>
      <w:lvlJc w:val="left"/>
      <w:pPr>
        <w:tabs>
          <w:tab w:val="num" w:pos="0"/>
        </w:tabs>
        <w:ind w:left="720" w:hanging="720"/>
      </w:pPr>
      <w:rPr>
        <w:i w:val="false"/>
        <w:u w:val="none"/>
        <w:b w:val="false"/>
      </w:rPr>
    </w:lvl>
    <w:lvl w:ilvl="2">
      <w:start w:val="1"/>
      <w:numFmt w:val="lowerLetter"/>
      <w:lvlText w:val="(%3)"/>
      <w:lvlJc w:val="left"/>
      <w:pPr>
        <w:tabs>
          <w:tab w:val="num" w:pos="0"/>
        </w:tabs>
        <w:ind w:left="1440" w:hanging="720"/>
      </w:pPr>
      <w:rPr/>
    </w:lvl>
    <w:lvl w:ilvl="3">
      <w:start w:val="1"/>
      <w:numFmt w:val="lowerRoman"/>
      <w:lvlText w:val="(%4)"/>
      <w:lvlJc w:val="left"/>
      <w:pPr>
        <w:tabs>
          <w:tab w:val="num" w:pos="0"/>
        </w:tabs>
        <w:ind w:left="2160" w:hanging="720"/>
      </w:pPr>
      <w:r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rPr/>
    </w:lvl>
    <w:lvl w:ilvl="6">
      <w:start w:val="1"/>
      <w:numFmt w:val="decimal"/>
      <w:lvlText w:val="%1.%2.%3.%4.%5.%6.%7"/>
      <w:lvlJc w:val="left"/>
      <w:pPr>
        <w:tabs>
          <w:tab w:val="num" w:pos="0"/>
        </w:tabs>
        <w:ind w:left="1296" w:hanging="1296"/>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584" w:hanging="1584"/>
      </w:pPr>
      <w:rPr/>
    </w:lvl>
  </w:abstractNum>
  <w:abstractNum w:abstractNumId="31">
    <w:lvl w:ilvl="0">
      <w:start w:val="1"/>
      <w:numFmt w:val="decimal"/>
      <w:lvlText w:val="%1"/>
      <w:lvlJc w:val="left"/>
      <w:pPr>
        <w:tabs>
          <w:tab w:val="num" w:pos="0"/>
        </w:tabs>
        <w:ind w:left="680" w:hanging="680"/>
      </w:pPr>
      <w:rPr>
        <w:sz w:val="22"/>
        <w:i w:val="false"/>
        <w:b/>
      </w:rPr>
    </w:lvl>
    <w:lvl w:ilvl="1">
      <w:start w:val="1"/>
      <w:numFmt w:val="decimal"/>
      <w:lvlText w:val="%1.%2"/>
      <w:lvlJc w:val="left"/>
      <w:pPr>
        <w:tabs>
          <w:tab w:val="num" w:pos="0"/>
        </w:tabs>
        <w:ind w:left="680" w:hanging="680"/>
      </w:pPr>
      <w:rPr>
        <w:sz w:val="21"/>
        <w:i w:val="false"/>
        <w:b/>
      </w:rPr>
    </w:lvl>
    <w:lvl w:ilvl="2">
      <w:start w:val="1"/>
      <w:numFmt w:val="decimal"/>
      <w:lvlText w:val="%1.%2.%3"/>
      <w:lvlJc w:val="left"/>
      <w:pPr>
        <w:tabs>
          <w:tab w:val="num" w:pos="0"/>
        </w:tabs>
        <w:ind w:left="1361" w:hanging="681"/>
      </w:pPr>
      <w:rPr>
        <w:sz w:val="17"/>
        <w:i w:val="false"/>
        <w:b/>
      </w:rPr>
    </w:lvl>
    <w:lvl w:ilvl="3">
      <w:start w:val="1"/>
      <w:numFmt w:val="lowerRoman"/>
      <w:lvlText w:val="(%4)"/>
      <w:lvlJc w:val="left"/>
      <w:pPr>
        <w:tabs>
          <w:tab w:val="num" w:pos="0"/>
        </w:tabs>
        <w:ind w:left="2041" w:hanging="680"/>
      </w:pPr>
      <w:rPr/>
    </w:lvl>
    <w:lvl w:ilvl="4">
      <w:start w:val="1"/>
      <w:numFmt w:val="lowerLetter"/>
      <w:lvlText w:val="(%5)"/>
      <w:lvlJc w:val="left"/>
      <w:pPr>
        <w:tabs>
          <w:tab w:val="num" w:pos="0"/>
        </w:tabs>
        <w:ind w:left="2608" w:hanging="567"/>
      </w:pPr>
      <w:rPr/>
    </w:lvl>
    <w:lvl w:ilvl="5">
      <w:start w:val="1"/>
      <w:numFmt w:val="upperRoman"/>
      <w:lvlText w:val="(%6)"/>
      <w:lvlJc w:val="left"/>
      <w:pPr>
        <w:tabs>
          <w:tab w:val="num" w:pos="0"/>
        </w:tabs>
        <w:ind w:left="3288" w:hanging="680"/>
      </w:pPr>
      <w:rPr/>
    </w:lvl>
    <w:lvl w:ilvl="6">
      <w:start w:val="1"/>
      <w:numFmt w:val="none"/>
      <w:suff w:val="nothing"/>
      <w:lvlText w:val="%7"/>
      <w:lvlJc w:val="left"/>
      <w:pPr>
        <w:tabs>
          <w:tab w:val="num" w:pos="0"/>
        </w:tabs>
        <w:ind w:left="3969" w:hanging="680"/>
      </w:pPr>
      <w:rPr/>
    </w:lvl>
    <w:lvl w:ilvl="7">
      <w:start w:val="1"/>
      <w:numFmt w:val="none"/>
      <w:suff w:val="nothing"/>
      <w:lvlText w:val="%8"/>
      <w:lvlJc w:val="left"/>
      <w:pPr>
        <w:tabs>
          <w:tab w:val="num" w:pos="0"/>
        </w:tabs>
        <w:ind w:left="3969" w:hanging="680"/>
      </w:pPr>
      <w:rPr/>
    </w:lvl>
    <w:lvl w:ilvl="8">
      <w:start w:val="1"/>
      <w:numFmt w:val="none"/>
      <w:suff w:val="nothing"/>
      <w:lvlText w:val="%9"/>
      <w:lvlJc w:val="left"/>
      <w:pPr>
        <w:tabs>
          <w:tab w:val="num" w:pos="0"/>
        </w:tabs>
        <w:ind w:left="3969" w:hanging="680"/>
      </w:pPr>
      <w:rPr/>
    </w:lvl>
  </w:abstractNum>
  <w:abstractNum w:abstractNumId="32">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7."/>
      <w:lvlJc w:val="left"/>
      <w:pPr>
        <w:tabs>
          <w:tab w:val="num" w:pos="0"/>
        </w:tabs>
        <w:ind w:left="720" w:hanging="720"/>
      </w:pPr>
      <w:rPr/>
    </w:lvl>
    <w:lvl w:ilvl="7">
      <w:start w:val="1"/>
      <w:numFmt w:val="lowerLetter"/>
      <w:lvlText w:val="%8."/>
      <w:lvlJc w:val="left"/>
      <w:pPr>
        <w:tabs>
          <w:tab w:val="num" w:pos="0"/>
        </w:tabs>
        <w:ind w:left="720" w:hanging="720"/>
      </w:pPr>
      <w:rPr/>
    </w:lvl>
    <w:lvl w:ilvl="8">
      <w:start w:val="1"/>
      <w:numFmt w:val="lowerRoman"/>
      <w:lvlText w:val="%9."/>
      <w:lvlJc w:val="left"/>
      <w:pPr>
        <w:tabs>
          <w:tab w:val="num" w:pos="0"/>
        </w:tabs>
        <w:ind w:left="720" w:hanging="720"/>
      </w:pPr>
      <w:rPr/>
    </w:lvl>
  </w:abstractNum>
  <w:abstractNum w:abstractNumId="33">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720" w:hanging="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1.%2.%3.%4.%5.%6.%7."/>
      <w:lvlJc w:val="left"/>
      <w:pPr>
        <w:tabs>
          <w:tab w:val="num" w:pos="0"/>
        </w:tabs>
        <w:ind w:left="720" w:hanging="720"/>
      </w:pPr>
      <w:rPr/>
    </w:lvl>
    <w:lvl w:ilvl="7">
      <w:start w:val="1"/>
      <w:numFmt w:val="decimal"/>
      <w:lvlText w:val="%1.%2.%3.%4.%5.%6.%7.%8."/>
      <w:lvlJc w:val="left"/>
      <w:pPr>
        <w:tabs>
          <w:tab w:val="num" w:pos="0"/>
        </w:tabs>
        <w:ind w:left="720" w:hanging="720"/>
      </w:pPr>
      <w:rPr/>
    </w:lvl>
    <w:lvl w:ilvl="8">
      <w:start w:val="1"/>
      <w:numFmt w:val="decimal"/>
      <w:lvlText w:val="%1.%2.%3.%4.%5.%6.%7.%8.%9."/>
      <w:lvlJc w:val="left"/>
      <w:pPr>
        <w:tabs>
          <w:tab w:val="num" w:pos="0"/>
        </w:tabs>
        <w:ind w:left="720" w:hanging="720"/>
      </w:pPr>
      <w:rPr/>
    </w:lvl>
  </w:abstractNum>
  <w:abstractNum w:abstractNumId="34">
    <w:lvl w:ilvl="0">
      <w:start w:val="1"/>
      <w:numFmt w:val="upperLetter"/>
      <w:lvlText w:val="(%1)"/>
      <w:lvlJc w:val="left"/>
      <w:pPr>
        <w:tabs>
          <w:tab w:val="num" w:pos="0"/>
        </w:tabs>
        <w:ind w:left="720" w:hanging="720"/>
      </w:pPr>
      <w:rPr/>
    </w:lvl>
    <w:lvl w:ilvl="1">
      <w:start w:val="1"/>
      <w:numFmt w:val="decimal"/>
      <w:lvlText w:val="(%2)"/>
      <w:lvlJc w:val="left"/>
      <w:pPr>
        <w:tabs>
          <w:tab w:val="num" w:pos="0"/>
        </w:tabs>
        <w:ind w:left="720" w:hanging="720"/>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5">
    <w:lvl w:ilvl="0">
      <w:start w:val="1"/>
      <w:numFmt w:val="decimal"/>
      <w:lvlText w:val="%1."/>
      <w:lvlJc w:val="left"/>
      <w:pPr>
        <w:tabs>
          <w:tab w:val="num" w:pos="0"/>
        </w:tabs>
        <w:ind w:left="720" w:hanging="720"/>
      </w:pPr>
      <w:rPr>
        <w:i w:val="false"/>
        <w:b/>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lowerLetter"/>
      <w:lvlText w:val="(%4)"/>
      <w:lvlJc w:val="left"/>
      <w:pPr>
        <w:tabs>
          <w:tab w:val="num" w:pos="0"/>
        </w:tabs>
        <w:ind w:left="1440" w:hanging="720"/>
      </w:pPr>
      <w:rPr/>
    </w:lvl>
    <w:lvl w:ilvl="4">
      <w:start w:val="1"/>
      <w:numFmt w:val="lowerRoman"/>
      <w:lvlText w:val="(%5)"/>
      <w:lvlJc w:val="left"/>
      <w:pPr>
        <w:tabs>
          <w:tab w:val="num" w:pos="0"/>
        </w:tabs>
        <w:ind w:left="2160" w:hanging="720"/>
      </w:pPr>
      <w:rPr/>
    </w:lvl>
    <w:lvl w:ilvl="5">
      <w:start w:val="1"/>
      <w:numFmt w:val="upperLetter"/>
      <w:lvlText w:val="(%6)"/>
      <w:lvlJc w:val="left"/>
      <w:pPr>
        <w:tabs>
          <w:tab w:val="num" w:pos="0"/>
        </w:tabs>
        <w:ind w:left="2880" w:hanging="72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36">
    <w:lvl w:ilvl="0">
      <w:start w:val="1"/>
      <w:numFmt w:val="decimal"/>
      <w:lvlText w:val="(%1)"/>
      <w:lvlJc w:val="left"/>
      <w:pPr>
        <w:tabs>
          <w:tab w:val="num" w:pos="0"/>
        </w:tabs>
        <w:ind w:left="720" w:hanging="720"/>
      </w:pPr>
      <w:rPr/>
    </w:lvl>
    <w:lvl w:ilvl="1">
      <w:start w:val="1"/>
      <w:numFmt w:val="decimal"/>
      <w:lvlText w:val="(%2)"/>
      <w:lvlJc w:val="left"/>
      <w:pPr>
        <w:tabs>
          <w:tab w:val="num" w:pos="0"/>
        </w:tabs>
        <w:ind w:left="1440" w:hanging="720"/>
      </w:pPr>
      <w:rPr/>
    </w:lvl>
    <w:lvl w:ilvl="2">
      <w:start w:val="1"/>
      <w:numFmt w:val="decimal"/>
      <w:lvlText w:val="(%3)"/>
      <w:lvlJc w:val="left"/>
      <w:pPr>
        <w:tabs>
          <w:tab w:val="num" w:pos="0"/>
        </w:tabs>
        <w:ind w:left="2160" w:hanging="720"/>
      </w:pPr>
      <w:rPr/>
    </w:lvl>
    <w:lvl w:ilvl="3">
      <w:start w:val="1"/>
      <w:numFmt w:val="decimal"/>
      <w:lvlText w:val="(%4)"/>
      <w:lvlJc w:val="left"/>
      <w:pPr>
        <w:tabs>
          <w:tab w:val="num" w:pos="0"/>
        </w:tabs>
        <w:ind w:left="2880" w:hanging="720"/>
      </w:pPr>
      <w:rPr/>
    </w:lvl>
    <w:lvl w:ilvl="4">
      <w:start w:val="1"/>
      <w:numFmt w:val="decimal"/>
      <w:lvlText w:val="(%5)"/>
      <w:lvlJc w:val="left"/>
      <w:pPr>
        <w:tabs>
          <w:tab w:val="num" w:pos="0"/>
        </w:tabs>
        <w:ind w:left="3600" w:hanging="720"/>
      </w:pPr>
      <w:rPr/>
    </w:lvl>
    <w:lvl w:ilvl="5">
      <w:start w:val="1"/>
      <w:numFmt w:val="decimal"/>
      <w:lvlText w:val="(%6)"/>
      <w:lvlJc w:val="left"/>
      <w:pPr>
        <w:tabs>
          <w:tab w:val="num" w:pos="0"/>
        </w:tabs>
        <w:ind w:left="4320" w:hanging="72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7">
    <w:lvl w:ilvl="0">
      <w:start w:val="1"/>
      <w:numFmt w:val="lowerLetter"/>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Letter"/>
      <w:lvlText w:val="(%3)"/>
      <w:lvlJc w:val="left"/>
      <w:pPr>
        <w:tabs>
          <w:tab w:val="num" w:pos="0"/>
        </w:tabs>
        <w:ind w:left="2160" w:hanging="720"/>
      </w:pPr>
      <w:rPr/>
    </w:lvl>
    <w:lvl w:ilvl="3">
      <w:start w:val="1"/>
      <w:numFmt w:val="lowerLetter"/>
      <w:lvlText w:val="(%4)"/>
      <w:lvlJc w:val="left"/>
      <w:pPr>
        <w:tabs>
          <w:tab w:val="num" w:pos="0"/>
        </w:tabs>
        <w:ind w:left="2880" w:hanging="720"/>
      </w:pPr>
      <w:rPr/>
    </w:lvl>
    <w:lvl w:ilvl="4">
      <w:start w:val="1"/>
      <w:numFmt w:val="lowerLetter"/>
      <w:lvlText w:val="(%5)"/>
      <w:lvlJc w:val="left"/>
      <w:pPr>
        <w:tabs>
          <w:tab w:val="num" w:pos="0"/>
        </w:tabs>
        <w:ind w:left="3600" w:hanging="72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8">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9">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40">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Roman"/>
      <w:lvlText w:val="%3)"/>
      <w:lvlJc w:val="left"/>
      <w:pPr>
        <w:tabs>
          <w:tab w:val="num" w:pos="0"/>
        </w:tabs>
        <w:ind w:left="2160" w:hanging="720"/>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1">
    <w:lvl w:ilvl="0">
      <w:start w:val="1"/>
      <w:numFmt w:val="decimal"/>
      <w:lvlText w:val="%1."/>
      <w:lvlJc w:val="left"/>
      <w:pPr>
        <w:tabs>
          <w:tab w:val="num" w:pos="0"/>
        </w:tabs>
        <w:ind w:left="720" w:hanging="720"/>
      </w:pPr>
      <w:rPr/>
    </w:lvl>
    <w:lvl w:ilvl="1">
      <w:start w:val="1"/>
      <w:numFmt w:val="lowerLetter"/>
      <w:lvlText w:val="%2)"/>
      <w:lvlJc w:val="left"/>
      <w:pPr>
        <w:tabs>
          <w:tab w:val="num" w:pos="0"/>
        </w:tabs>
        <w:ind w:left="1440" w:hanging="720"/>
      </w:pPr>
      <w:rPr/>
    </w:lvl>
    <w:lvl w:ilvl="2">
      <w:start w:val="1"/>
      <w:numFmt w:val="lowerRoman"/>
      <w:lvlText w:val="%3)"/>
      <w:lvlJc w:val="left"/>
      <w:pPr>
        <w:tabs>
          <w:tab w:val="num" w:pos="0"/>
        </w:tabs>
        <w:ind w:left="2160" w:hanging="720"/>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2">
    <w:lvl w:ilvl="0">
      <w:start w:val="1"/>
      <w:numFmt w:val="decimal"/>
      <w:lvlText w:val="%1."/>
      <w:lvlJc w:val="left"/>
      <w:pPr>
        <w:tabs>
          <w:tab w:val="num" w:pos="0"/>
        </w:tabs>
        <w:ind w:left="720" w:hanging="720"/>
      </w:pPr>
      <w:rPr/>
    </w:lvl>
    <w:lvl w:ilvl="1">
      <w:start w:val="1"/>
      <w:numFmt w:val="decimal"/>
      <w:lvlText w:val="%1.%2."/>
      <w:lvlJc w:val="left"/>
      <w:pPr>
        <w:tabs>
          <w:tab w:val="num" w:pos="0"/>
        </w:tabs>
        <w:ind w:left="720" w:hanging="72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lvl>
    <w:lvl w:ilvl="5">
      <w:start w:val="0"/>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3">
    <w:lvl w:ilvl="0">
      <w:start w:val="1"/>
      <w:numFmt w:val="decimal"/>
      <w:lvlText w:val="%1."/>
      <w:lvlJc w:val="left"/>
      <w:pPr>
        <w:tabs>
          <w:tab w:val="num" w:pos="0"/>
        </w:tabs>
        <w:ind w:left="720" w:hanging="720"/>
      </w:pPr>
      <w:rPr>
        <w:i w:val="false"/>
        <w:color w:val="auto"/>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4">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4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4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5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6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7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8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9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0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1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2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3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4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7">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8">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59">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0">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1">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2">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3">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4">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5">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abstractNum w:abstractNumId="166">
    <w:lvl w:ilvl="0">
      <w:start w:val="1"/>
      <w:numFmt w:val="decimal"/>
      <w:lvlText w:val="%1."/>
      <w:lvlJc w:val="left"/>
      <w:pPr>
        <w:tabs>
          <w:tab w:val="num" w:pos="0"/>
        </w:tabs>
        <w:ind w:left="720" w:hanging="720"/>
      </w:pPr>
      <w:rPr>
        <w:i w:val="false"/>
      </w:rPr>
    </w:lvl>
    <w:lvl w:ilvl="1">
      <w:start w:val="1"/>
      <w:numFmt w:val="decimal"/>
      <w:lvlText w:val="%1.%2."/>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2">
      <w:start w:val="1"/>
      <w:numFmt w:val="decimal"/>
      <w:lvlText w:val="%1.%2.%3."/>
      <w:lvlJc w:val="left"/>
      <w:pPr>
        <w:tabs>
          <w:tab w:val="num" w:pos="0"/>
        </w:tabs>
        <w:ind w:left="72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3">
      <w:start w:val="1"/>
      <w:numFmt w:val="decimal"/>
      <w:lvlText w:val="%1.%2.%3.%4."/>
      <w:lvlJc w:val="left"/>
      <w:pPr>
        <w:tabs>
          <w:tab w:val="num" w:pos="0"/>
        </w:tabs>
        <w:ind w:left="720" w:hanging="720"/>
      </w:pPr>
      <w:rPr/>
    </w:lvl>
    <w:lvl w:ilvl="4">
      <w:start w:val="1"/>
      <w:numFmt w:val="russianLower"/>
      <w:lvlText w:val="(%5)"/>
      <w:lvlJc w:val="left"/>
      <w:pPr>
        <w:tabs>
          <w:tab w:val="num" w:pos="0"/>
        </w:tabs>
        <w:ind w:left="1440" w:hanging="720"/>
      </w:pPr>
      <w:rPr>
        <w:smallCaps w:val="false"/>
        <w:caps w:val="false"/>
        <w:outline w:val="false"/>
        <w:dstrike w:val="false"/>
        <w:strike w:val="false"/>
        <w:vertAlign w:val="baseline"/>
        <w:position w:val="0"/>
        <w:sz w:val="20"/>
        <w:sz w:val="20"/>
        <w:spacing w:val="0"/>
        <w:i w:val="false"/>
        <w:u w:val="none"/>
        <w:b w:val="false"/>
        <w:kern w:val="0"/>
        <w:iCs w:val="false"/>
        <w:bCs w:val="false"/>
        <w:em w:val="none"/>
        <w:emboss w:val="false"/>
        <w:imprint w:val="false"/>
        <w:vanish w:val="false"/>
        <w:rFonts w:cs="Times New Roman"/>
      </w:rPr>
    </w:lvl>
    <w:lvl w:ilvl="5">
      <w:start w:val="0"/>
      <w:numFmt w:val="bullet"/>
      <w:lvlText w:val=""/>
      <w:lvlJc w:val="left"/>
      <w:pPr>
        <w:tabs>
          <w:tab w:val="num" w:pos="0"/>
        </w:tabs>
        <w:ind w:left="1440" w:hanging="720"/>
      </w:pPr>
      <w:rPr>
        <w:rFonts w:ascii="Symbol" w:hAnsi="Symbol" w:cs="Symbol" w:hint="default"/>
      </w:rPr>
    </w:lvl>
    <w:lvl w:ilvl="6">
      <w:start w:val="0"/>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rPr/>
    </w:lvl>
    <w:lvl w:ilvl="8">
      <w:start w:val="1"/>
      <w:numFmt w:val="lowerRoman"/>
      <w:lvlText w:val="%9."/>
      <w:lvlJc w:val="right"/>
      <w:pPr>
        <w:tabs>
          <w:tab w:val="num" w:pos="0"/>
        </w:tabs>
        <w:ind w:left="720" w:hanging="72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45"/>
    <w:lvlOverride w:ilvl="0">
      <w:startOverride w:val="1"/>
    </w:lvlOverride>
  </w:num>
  <w:num w:numId="168">
    <w:abstractNumId w:val="45"/>
  </w:num>
  <w:num w:numId="169">
    <w:abstractNumId w:val="45"/>
  </w:num>
  <w:num w:numId="170">
    <w:abstractNumId w:val="45"/>
  </w:num>
  <w:num w:numId="171">
    <w:abstractNumId w:val="45"/>
  </w:num>
  <w:num w:numId="172">
    <w:abstractNumId w:val="45"/>
  </w:num>
  <w:num w:numId="173">
    <w:abstractNumId w:val="45"/>
  </w:num>
  <w:num w:numId="174">
    <w:abstractNumId w:val="45"/>
  </w:num>
  <w:num w:numId="175">
    <w:abstractNumId w:val="45"/>
  </w:num>
  <w:num w:numId="176">
    <w:abstractNumId w:val="45"/>
  </w:num>
  <w:num w:numId="177">
    <w:abstractNumId w:val="45"/>
  </w:num>
  <w:num w:numId="178">
    <w:abstractNumId w:val="45"/>
  </w:num>
  <w:num w:numId="179">
    <w:abstractNumId w:val="45"/>
  </w:num>
  <w:num w:numId="180">
    <w:abstractNumId w:val="45"/>
  </w:num>
  <w:num w:numId="181">
    <w:abstractNumId w:val="45"/>
  </w:num>
  <w:num w:numId="182">
    <w:abstractNumId w:val="45"/>
  </w:num>
  <w:num w:numId="183">
    <w:abstractNumId w:val="45"/>
  </w:num>
  <w:num w:numId="184">
    <w:abstractNumId w:val="45"/>
  </w:num>
  <w:num w:numId="185">
    <w:abstractNumId w:val="45"/>
  </w:num>
  <w:num w:numId="186">
    <w:abstractNumId w:val="45"/>
  </w:num>
  <w:num w:numId="187">
    <w:abstractNumId w:val="45"/>
  </w:num>
  <w:num w:numId="188">
    <w:abstractNumId w:val="45"/>
  </w:num>
  <w:num w:numId="189">
    <w:abstractNumId w:val="45"/>
  </w:num>
  <w:num w:numId="190">
    <w:abstractNumId w:val="45"/>
  </w:num>
  <w:num w:numId="191">
    <w:abstractNumId w:val="45"/>
  </w:num>
  <w:num w:numId="192">
    <w:abstractNumId w:val="45"/>
  </w:num>
  <w:num w:numId="193">
    <w:abstractNumId w:val="45"/>
  </w:num>
  <w:num w:numId="194">
    <w:abstractNumId w:val="45"/>
  </w:num>
  <w:num w:numId="195">
    <w:abstractNumId w:val="45"/>
  </w:num>
  <w:num w:numId="196">
    <w:abstractNumId w:val="45"/>
  </w:num>
  <w:num w:numId="197">
    <w:abstractNumId w:val="45"/>
  </w:num>
  <w:num w:numId="198">
    <w:abstractNumId w:val="45"/>
  </w:num>
  <w:num w:numId="199">
    <w:abstractNumId w:val="45"/>
  </w:num>
  <w:num w:numId="200">
    <w:abstractNumId w:val="45"/>
  </w:num>
  <w:num w:numId="201">
    <w:abstractNumId w:val="45"/>
  </w:num>
  <w:num w:numId="202">
    <w:abstractNumId w:val="45"/>
  </w:num>
  <w:num w:numId="203">
    <w:abstractNumId w:val="45"/>
  </w:num>
  <w:num w:numId="204">
    <w:abstractNumId w:val="45"/>
  </w:num>
  <w:num w:numId="205">
    <w:abstractNumId w:val="45"/>
  </w:num>
  <w:num w:numId="206">
    <w:abstractNumId w:val="45"/>
  </w:num>
  <w:num w:numId="207">
    <w:abstractNumId w:val="45"/>
  </w:num>
  <w:num w:numId="208">
    <w:abstractNumId w:val="45"/>
  </w:num>
  <w:num w:numId="209">
    <w:abstractNumId w:val="45"/>
  </w:num>
  <w:num w:numId="210">
    <w:abstractNumId w:val="45"/>
  </w:num>
  <w:num w:numId="211">
    <w:abstractNumId w:val="45"/>
  </w:num>
  <w:num w:numId="212">
    <w:abstractNumId w:val="45"/>
  </w:num>
  <w:num w:numId="213">
    <w:abstractNumId w:val="45"/>
  </w:num>
  <w:num w:numId="214">
    <w:abstractNumId w:val="45"/>
  </w:num>
  <w:num w:numId="215">
    <w:abstractNumId w:val="45"/>
  </w:num>
  <w:num w:numId="216">
    <w:abstractNumId w:val="45"/>
  </w:num>
  <w:num w:numId="217">
    <w:abstractNumId w:val="45"/>
  </w:num>
  <w:num w:numId="218">
    <w:abstractNumId w:val="45"/>
  </w:num>
  <w:num w:numId="219">
    <w:abstractNumId w:val="45"/>
  </w:num>
  <w:num w:numId="220">
    <w:abstractNumId w:val="45"/>
  </w:num>
  <w:num w:numId="221">
    <w:abstractNumId w:val="45"/>
  </w:num>
  <w:num w:numId="222">
    <w:abstractNumId w:val="45"/>
  </w:num>
  <w:num w:numId="223">
    <w:abstractNumId w:val="45"/>
  </w:num>
  <w:num w:numId="224">
    <w:abstractNumId w:val="45"/>
  </w:num>
  <w:num w:numId="225">
    <w:abstractNumId w:val="45"/>
  </w:num>
  <w:num w:numId="226">
    <w:abstractNumId w:val="45"/>
  </w:num>
  <w:num w:numId="227">
    <w:abstractNumId w:val="45"/>
  </w:num>
  <w:num w:numId="228">
    <w:abstractNumId w:val="45"/>
  </w:num>
  <w:num w:numId="229">
    <w:abstractNumId w:val="45"/>
  </w:num>
  <w:num w:numId="230">
    <w:abstractNumId w:val="45"/>
  </w:num>
  <w:num w:numId="231">
    <w:abstractNumId w:val="45"/>
  </w:num>
  <w:num w:numId="232">
    <w:abstractNumId w:val="45"/>
  </w:num>
  <w:num w:numId="233">
    <w:abstractNumId w:val="45"/>
  </w:num>
  <w:num w:numId="234">
    <w:abstractNumId w:val="45"/>
  </w:num>
  <w:num w:numId="235">
    <w:abstractNumId w:val="45"/>
  </w:num>
  <w:num w:numId="236">
    <w:abstractNumId w:val="45"/>
  </w:num>
  <w:num w:numId="237">
    <w:abstractNumId w:val="45"/>
  </w:num>
  <w:num w:numId="238">
    <w:abstractNumId w:val="45"/>
  </w:num>
  <w:num w:numId="239">
    <w:abstractNumId w:val="45"/>
  </w:num>
  <w:num w:numId="240">
    <w:abstractNumId w:val="45"/>
  </w:num>
  <w:num w:numId="241">
    <w:abstractNumId w:val="45"/>
  </w:num>
  <w:num w:numId="242">
    <w:abstractNumId w:val="45"/>
  </w:num>
  <w:num w:numId="243">
    <w:abstractNumId w:val="45"/>
  </w:num>
  <w:num w:numId="244">
    <w:abstractNumId w:val="45"/>
  </w:num>
  <w:num w:numId="245">
    <w:abstractNumId w:val="45"/>
  </w:num>
  <w:num w:numId="246">
    <w:abstractNumId w:val="45"/>
  </w:num>
  <w:num w:numId="247">
    <w:abstractNumId w:val="45"/>
  </w:num>
  <w:num w:numId="248">
    <w:abstractNumId w:val="45"/>
  </w:num>
  <w:num w:numId="249">
    <w:abstractNumId w:val="45"/>
  </w:num>
  <w:num w:numId="250">
    <w:abstractNumId w:val="45"/>
  </w:num>
  <w:num w:numId="251">
    <w:abstractNumId w:val="45"/>
  </w:num>
  <w:num w:numId="252">
    <w:abstractNumId w:val="45"/>
  </w:num>
  <w:num w:numId="253">
    <w:abstractNumId w:val="45"/>
  </w:num>
  <w:num w:numId="254">
    <w:abstractNumId w:val="45"/>
  </w:num>
  <w:num w:numId="255">
    <w:abstractNumId w:val="45"/>
  </w:num>
  <w:num w:numId="256">
    <w:abstractNumId w:val="45"/>
  </w:num>
  <w:num w:numId="257">
    <w:abstractNumId w:val="45"/>
  </w:num>
  <w:num w:numId="258">
    <w:abstractNumId w:val="45"/>
  </w:num>
  <w:num w:numId="259">
    <w:abstractNumId w:val="45"/>
  </w:num>
  <w:num w:numId="260">
    <w:abstractNumId w:val="45"/>
  </w:num>
  <w:num w:numId="261">
    <w:abstractNumId w:val="45"/>
  </w:num>
  <w:num w:numId="262">
    <w:abstractNumId w:val="45"/>
  </w:num>
  <w:num w:numId="263">
    <w:abstractNumId w:val="45"/>
  </w:num>
  <w:num w:numId="264">
    <w:abstractNumId w:val="45"/>
  </w:num>
  <w:num w:numId="265">
    <w:abstractNumId w:val="45"/>
  </w:num>
  <w:num w:numId="266">
    <w:abstractNumId w:val="45"/>
  </w:num>
  <w:num w:numId="267">
    <w:abstractNumId w:val="45"/>
  </w:num>
  <w:num w:numId="268">
    <w:abstractNumId w:val="45"/>
  </w:num>
  <w:num w:numId="269">
    <w:abstractNumId w:val="45"/>
  </w:num>
  <w:num w:numId="270">
    <w:abstractNumId w:val="45"/>
  </w:num>
  <w:num w:numId="271">
    <w:abstractNumId w:val="45"/>
  </w:num>
  <w:num w:numId="272">
    <w:abstractNumId w:val="45"/>
  </w:num>
  <w:num w:numId="273">
    <w:abstractNumId w:val="45"/>
  </w:num>
  <w:num w:numId="274">
    <w:abstractNumId w:val="45"/>
  </w:num>
  <w:num w:numId="275">
    <w:abstractNumId w:val="45"/>
  </w:num>
  <w:num w:numId="276">
    <w:abstractNumId w:val="45"/>
  </w:num>
  <w:num w:numId="277">
    <w:abstractNumId w:val="45"/>
  </w:num>
  <w:num w:numId="278">
    <w:abstractNumId w:val="45"/>
  </w:num>
  <w:num w:numId="279">
    <w:abstractNumId w:val="45"/>
  </w:num>
  <w:num w:numId="280">
    <w:abstractNumId w:val="45"/>
  </w:num>
  <w:num w:numId="281">
    <w:abstractNumId w:val="45"/>
  </w:num>
  <w:num w:numId="282">
    <w:abstractNumId w:val="45"/>
  </w:num>
  <w:num w:numId="283">
    <w:abstractNumId w:val="45"/>
  </w:num>
  <w:num w:numId="284">
    <w:abstractNumId w:val="45"/>
  </w:num>
  <w:num w:numId="285">
    <w:abstractNumId w:val="45"/>
  </w:num>
  <w:num w:numId="286">
    <w:abstractNumId w:val="45"/>
  </w:num>
  <w:num w:numId="287">
    <w:abstractNumId w:val="45"/>
  </w:num>
  <w:num w:numId="288">
    <w:abstractNumId w:val="45"/>
  </w:num>
</w:numbering>
</file>

<file path=word/settings.xml><?xml version="1.0" encoding="utf-8"?>
<w:settings xmlns:w="http://schemas.openxmlformats.org/wordprocessingml/2006/main">
  <w:zoom w:percent="13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textAlignment w:val="baseline"/>
    </w:pPr>
    <w:rPr>
      <w:rFonts w:ascii="Calibri" w:hAnsi="Calibri" w:eastAsia="Calibri" w:cs="Times New Roman"/>
      <w:color w:val="auto"/>
      <w:kern w:val="0"/>
      <w:sz w:val="22"/>
      <w:szCs w:val="22"/>
      <w:lang w:val="ru-RU" w:eastAsia="en-US" w:bidi="ar-SA"/>
    </w:rPr>
  </w:style>
  <w:style w:type="paragraph" w:styleId="Heading1">
    <w:name w:val="heading 1"/>
    <w:qFormat/>
    <w:pPr>
      <w:keepNext w:val="true"/>
      <w:widowControl/>
      <w:numPr>
        <w:ilvl w:val="0"/>
        <w:numId w:val="1"/>
      </w:numPr>
      <w:suppressAutoHyphens w:val="true"/>
      <w:bidi w:val="0"/>
      <w:spacing w:before="120" w:after="120"/>
      <w:jc w:val="both"/>
      <w:textAlignment w:val="baseline"/>
      <w:outlineLvl w:val="0"/>
    </w:pPr>
    <w:rPr>
      <w:rFonts w:ascii="Times New Roman" w:hAnsi="Times New Roman" w:eastAsia="Calibri" w:cs="Times New Roman"/>
      <w:b/>
      <w:bCs/>
      <w:caps/>
      <w:color w:val="auto"/>
      <w:kern w:val="0"/>
      <w:sz w:val="22"/>
      <w:szCs w:val="28"/>
      <w:lang w:val="ru-RU" w:eastAsia="en-US" w:bidi="ar-SA"/>
    </w:rPr>
  </w:style>
  <w:style w:type="paragraph" w:styleId="Heading2">
    <w:name w:val="heading 2"/>
    <w:qFormat/>
    <w:pPr>
      <w:widowControl/>
      <w:numPr>
        <w:ilvl w:val="1"/>
        <w:numId w:val="1"/>
      </w:numPr>
      <w:suppressAutoHyphens w:val="true"/>
      <w:bidi w:val="0"/>
      <w:spacing w:before="120" w:after="120"/>
      <w:jc w:val="both"/>
      <w:textAlignment w:val="baseline"/>
      <w:outlineLvl w:val="1"/>
    </w:pPr>
    <w:rPr>
      <w:rFonts w:ascii="Times New Roman" w:hAnsi="Times New Roman" w:eastAsia="Calibri" w:cs="Times New Roman"/>
      <w:bCs/>
      <w:color w:val="auto"/>
      <w:kern w:val="0"/>
      <w:sz w:val="22"/>
      <w:szCs w:val="26"/>
      <w:lang w:val="ru-RU" w:eastAsia="en-US" w:bidi="ar-SA"/>
    </w:rPr>
  </w:style>
  <w:style w:type="paragraph" w:styleId="Heading3">
    <w:name w:val="heading 3"/>
    <w:qFormat/>
    <w:pPr>
      <w:widowControl/>
      <w:numPr>
        <w:ilvl w:val="2"/>
        <w:numId w:val="1"/>
      </w:numPr>
      <w:suppressAutoHyphens w:val="true"/>
      <w:bidi w:val="0"/>
      <w:spacing w:before="120" w:after="120"/>
      <w:jc w:val="both"/>
      <w:textAlignment w:val="baseline"/>
      <w:outlineLvl w:val="2"/>
    </w:pPr>
    <w:rPr>
      <w:rFonts w:ascii="Times New Roman" w:hAnsi="Times New Roman" w:eastAsia="Calibri" w:cs="Times New Roman"/>
      <w:bCs/>
      <w:color w:val="auto"/>
      <w:kern w:val="0"/>
      <w:sz w:val="22"/>
      <w:szCs w:val="22"/>
      <w:lang w:val="ru-RU" w:eastAsia="en-US" w:bidi="ar-SA"/>
    </w:rPr>
  </w:style>
  <w:style w:type="paragraph" w:styleId="Heading4">
    <w:name w:val="heading 4"/>
    <w:qFormat/>
    <w:pPr>
      <w:widowControl/>
      <w:numPr>
        <w:ilvl w:val="3"/>
        <w:numId w:val="1"/>
      </w:numPr>
      <w:suppressAutoHyphens w:val="true"/>
      <w:bidi w:val="0"/>
      <w:spacing w:before="120" w:after="120"/>
      <w:jc w:val="both"/>
      <w:textAlignment w:val="baseline"/>
      <w:outlineLvl w:val="3"/>
    </w:pPr>
    <w:rPr>
      <w:rFonts w:ascii="Times New Roman" w:hAnsi="Times New Roman" w:eastAsia="Calibri" w:cs="Times New Roman"/>
      <w:bCs/>
      <w:iCs/>
      <w:color w:val="auto"/>
      <w:kern w:val="0"/>
      <w:sz w:val="22"/>
      <w:szCs w:val="22"/>
      <w:lang w:val="ru-RU" w:eastAsia="en-US" w:bidi="ar-SA"/>
    </w:rPr>
  </w:style>
  <w:style w:type="paragraph" w:styleId="Heading5">
    <w:name w:val="heading 5"/>
    <w:qFormat/>
    <w:pPr>
      <w:widowControl/>
      <w:numPr>
        <w:ilvl w:val="4"/>
        <w:numId w:val="1"/>
      </w:numPr>
      <w:suppressAutoHyphens w:val="true"/>
      <w:bidi w:val="0"/>
      <w:spacing w:before="120" w:after="120"/>
      <w:jc w:val="both"/>
      <w:textAlignment w:val="baseline"/>
      <w:outlineLvl w:val="4"/>
    </w:pPr>
    <w:rPr>
      <w:rFonts w:ascii="Times New Roman" w:hAnsi="Times New Roman" w:eastAsia="Calibri" w:cs="Times New Roman"/>
      <w:color w:val="auto"/>
      <w:kern w:val="0"/>
      <w:sz w:val="22"/>
      <w:szCs w:val="20"/>
      <w:lang w:val="en-GB" w:eastAsia="en-US" w:bidi="ar-SA"/>
    </w:rPr>
  </w:style>
  <w:style w:type="paragraph" w:styleId="Heading6">
    <w:name w:val="heading 6"/>
    <w:next w:val="Heading7"/>
    <w:qFormat/>
    <w:pPr>
      <w:widowControl/>
      <w:numPr>
        <w:ilvl w:val="5"/>
        <w:numId w:val="1"/>
      </w:numPr>
      <w:suppressAutoHyphens w:val="true"/>
      <w:bidi w:val="0"/>
      <w:spacing w:before="120" w:after="120"/>
      <w:jc w:val="both"/>
      <w:textAlignment w:val="baseline"/>
      <w:outlineLvl w:val="5"/>
    </w:pPr>
    <w:rPr>
      <w:rFonts w:ascii="Times New Roman" w:hAnsi="Times New Roman" w:eastAsia="Calibri" w:cs="Times New Roman"/>
      <w:iCs/>
      <w:color w:val="auto"/>
      <w:kern w:val="0"/>
      <w:sz w:val="22"/>
      <w:szCs w:val="22"/>
      <w:lang w:val="ru-RU" w:eastAsia="en-US" w:bidi="ar-SA"/>
    </w:rPr>
  </w:style>
  <w:style w:type="paragraph" w:styleId="Heading7">
    <w:name w:val="heading 7"/>
    <w:next w:val="Heading8"/>
    <w:qFormat/>
    <w:pPr>
      <w:widowControl/>
      <w:numPr>
        <w:ilvl w:val="6"/>
        <w:numId w:val="1"/>
      </w:numPr>
      <w:suppressAutoHyphens w:val="true"/>
      <w:bidi w:val="0"/>
      <w:spacing w:before="120" w:after="120"/>
      <w:jc w:val="both"/>
      <w:textAlignment w:val="baseline"/>
      <w:outlineLvl w:val="6"/>
    </w:pPr>
    <w:rPr>
      <w:rFonts w:ascii="Times New Roman" w:hAnsi="Times New Roman" w:eastAsia="Calibri" w:cs="Times New Roman"/>
      <w:iCs/>
      <w:color w:val="auto"/>
      <w:kern w:val="0"/>
      <w:sz w:val="22"/>
      <w:szCs w:val="22"/>
      <w:lang w:val="ru-RU" w:eastAsia="en-US" w:bidi="ar-SA"/>
    </w:rPr>
  </w:style>
  <w:style w:type="paragraph" w:styleId="Heading8">
    <w:name w:val="heading 8"/>
    <w:next w:val="Normal"/>
    <w:qFormat/>
    <w:pPr>
      <w:keepNext w:val="true"/>
      <w:keepLines/>
      <w:widowControl/>
      <w:numPr>
        <w:ilvl w:val="7"/>
        <w:numId w:val="1"/>
      </w:numPr>
      <w:suppressAutoHyphens w:val="true"/>
      <w:bidi w:val="0"/>
      <w:spacing w:before="200" w:after="0"/>
      <w:jc w:val="both"/>
      <w:textAlignment w:val="baseline"/>
      <w:outlineLvl w:val="7"/>
    </w:pPr>
    <w:rPr>
      <w:rFonts w:ascii="Times New Roman" w:hAnsi="Times New Roman" w:eastAsia="Calibri" w:cs="Times New Roman"/>
      <w:color w:val="auto"/>
      <w:kern w:val="0"/>
      <w:sz w:val="20"/>
      <w:szCs w:val="20"/>
      <w:lang w:val="ru-RU" w:eastAsia="en-US" w:bidi="ar-SA"/>
    </w:rPr>
  </w:style>
  <w:style w:type="paragraph" w:styleId="Heading9">
    <w:name w:val="heading 9"/>
    <w:basedOn w:val="Normal"/>
    <w:next w:val="Normal"/>
    <w:qFormat/>
    <w:pPr>
      <w:keepNext w:val="true"/>
      <w:keepLines/>
      <w:spacing w:lineRule="auto" w:line="240" w:before="200" w:after="0"/>
      <w:jc w:val="both"/>
      <w:outlineLvl w:val="8"/>
    </w:pPr>
    <w:rPr>
      <w:rFonts w:ascii="Cambria" w:hAnsi="Cambria"/>
      <w:i/>
      <w:iCs/>
      <w:color w:val="404040"/>
      <w:sz w:val="20"/>
      <w:szCs w:val="20"/>
    </w:rPr>
  </w:style>
  <w:style w:type="character" w:styleId="DefaultParagraphFont" w:default="1">
    <w:name w:val="Default Paragraph Font"/>
    <w:uiPriority w:val="1"/>
    <w:semiHidden/>
    <w:unhideWhenUsed/>
    <w:qFormat/>
    <w:rPr/>
  </w:style>
  <w:style w:type="character" w:styleId="11" w:customStyle="1">
    <w:name w:val="Заголовок 1 Знак1"/>
    <w:qFormat/>
    <w:rPr>
      <w:rFonts w:ascii="Cambria" w:hAnsi="Cambria" w:cs="Times New Roman"/>
      <w:b/>
      <w:bCs/>
      <w:kern w:val="2"/>
      <w:sz w:val="32"/>
      <w:szCs w:val="32"/>
    </w:rPr>
  </w:style>
  <w:style w:type="character" w:styleId="21" w:customStyle="1">
    <w:name w:val="Заголовок 2 Знак1"/>
    <w:qFormat/>
    <w:rPr>
      <w:rFonts w:ascii="Cambria" w:hAnsi="Cambria"/>
      <w:b/>
      <w:bCs/>
      <w:i/>
      <w:iCs/>
      <w:sz w:val="22"/>
      <w:szCs w:val="22"/>
    </w:rPr>
  </w:style>
  <w:style w:type="character" w:styleId="3" w:customStyle="1">
    <w:name w:val="Заголовок 3 Знак"/>
    <w:basedOn w:val="DefaultParagraphFont"/>
    <w:qFormat/>
    <w:rPr>
      <w:rFonts w:ascii="Times New Roman" w:hAnsi="Times New Roman"/>
      <w:bCs/>
      <w:sz w:val="22"/>
      <w:szCs w:val="22"/>
      <w:lang w:val="ru-RU" w:eastAsia="en-US"/>
    </w:rPr>
  </w:style>
  <w:style w:type="character" w:styleId="4" w:customStyle="1">
    <w:name w:val="Заголовок 4 Знак"/>
    <w:basedOn w:val="DefaultParagraphFont"/>
    <w:qFormat/>
    <w:rPr>
      <w:rFonts w:ascii="Times New Roman" w:hAnsi="Times New Roman"/>
      <w:bCs/>
      <w:iCs/>
      <w:sz w:val="22"/>
      <w:szCs w:val="22"/>
      <w:lang w:val="ru-RU" w:eastAsia="en-US"/>
    </w:rPr>
  </w:style>
  <w:style w:type="character" w:styleId="5" w:customStyle="1">
    <w:name w:val="Заголовок 5 Знак"/>
    <w:basedOn w:val="DefaultParagraphFont"/>
    <w:qFormat/>
    <w:rPr>
      <w:rFonts w:ascii="Times New Roman" w:hAnsi="Times New Roman"/>
      <w:sz w:val="22"/>
      <w:lang w:val="en-GB" w:eastAsia="en-US"/>
    </w:rPr>
  </w:style>
  <w:style w:type="character" w:styleId="6" w:customStyle="1">
    <w:name w:val="Заголовок 6 Знак"/>
    <w:basedOn w:val="DefaultParagraphFont"/>
    <w:qFormat/>
    <w:rPr>
      <w:rFonts w:ascii="Times New Roman" w:hAnsi="Times New Roman"/>
      <w:iCs/>
      <w:sz w:val="22"/>
      <w:szCs w:val="22"/>
      <w:lang w:val="ru-RU" w:eastAsia="en-US"/>
    </w:rPr>
  </w:style>
  <w:style w:type="character" w:styleId="7" w:customStyle="1">
    <w:name w:val="Заголовок 7 Знак"/>
    <w:basedOn w:val="DefaultParagraphFont"/>
    <w:qFormat/>
    <w:rPr>
      <w:rFonts w:ascii="Times New Roman" w:hAnsi="Times New Roman"/>
      <w:iCs/>
      <w:sz w:val="22"/>
      <w:szCs w:val="22"/>
      <w:lang w:val="ru-RU" w:eastAsia="en-US"/>
    </w:rPr>
  </w:style>
  <w:style w:type="character" w:styleId="8" w:customStyle="1">
    <w:name w:val="Заголовок 8 Знак"/>
    <w:basedOn w:val="DefaultParagraphFont"/>
    <w:qFormat/>
    <w:rPr>
      <w:rFonts w:ascii="Times New Roman" w:hAnsi="Times New Roman"/>
      <w:lang w:val="ru-RU" w:eastAsia="en-US"/>
    </w:rPr>
  </w:style>
  <w:style w:type="character" w:styleId="9" w:customStyle="1">
    <w:name w:val="Заголовок 9 Знак"/>
    <w:basedOn w:val="DefaultParagraphFont"/>
    <w:qFormat/>
    <w:rPr>
      <w:rFonts w:ascii="Cambria" w:hAnsi="Cambria"/>
      <w:i/>
      <w:iCs/>
      <w:color w:val="404040"/>
      <w:sz w:val="20"/>
      <w:szCs w:val="20"/>
    </w:rPr>
  </w:style>
  <w:style w:type="character" w:styleId="Style5" w:customStyle="1">
    <w:name w:val="Гипертекстовая ссылка"/>
    <w:qFormat/>
    <w:rPr>
      <w:b/>
      <w:color w:val="008000"/>
      <w:sz w:val="20"/>
      <w:u w:val="single"/>
    </w:rPr>
  </w:style>
  <w:style w:type="character" w:styleId="1" w:customStyle="1">
    <w:name w:val="Заголовок 1 Знак"/>
    <w:basedOn w:val="DefaultParagraphFont"/>
    <w:uiPriority w:val="9"/>
    <w:qFormat/>
    <w:rPr>
      <w:rFonts w:ascii="Times New Roman" w:hAnsi="Times New Roman"/>
      <w:b/>
      <w:bCs/>
      <w:caps/>
      <w:sz w:val="22"/>
      <w:szCs w:val="28"/>
      <w:lang w:val="ru-RU" w:eastAsia="en-US"/>
    </w:rPr>
  </w:style>
  <w:style w:type="character" w:styleId="12" w:customStyle="1">
    <w:name w:val="Сильное выделение1"/>
    <w:qFormat/>
    <w:rPr>
      <w:rFonts w:cs="Times New Roman"/>
      <w:b/>
      <w:i/>
      <w:color w:val="4F81BD"/>
    </w:rPr>
  </w:style>
  <w:style w:type="character" w:styleId="Style6" w:customStyle="1">
    <w:name w:val="Основной текст с отступом Знак"/>
    <w:qFormat/>
    <w:rPr>
      <w:rFonts w:cs="Times New Roman"/>
      <w:sz w:val="28"/>
      <w:szCs w:val="28"/>
    </w:rPr>
  </w:style>
  <w:style w:type="character" w:styleId="2" w:customStyle="1">
    <w:name w:val="Основной текст с отступом 2 Знак"/>
    <w:qFormat/>
    <w:rPr>
      <w:rFonts w:cs="Times New Roman"/>
      <w:sz w:val="28"/>
      <w:szCs w:val="28"/>
    </w:rPr>
  </w:style>
  <w:style w:type="character" w:styleId="Style7" w:customStyle="1">
    <w:name w:val="Основной текст Знак"/>
    <w:qFormat/>
    <w:rPr>
      <w:rFonts w:cs="Times New Roman"/>
      <w:sz w:val="28"/>
    </w:rPr>
  </w:style>
  <w:style w:type="character" w:styleId="Style8" w:customStyle="1">
    <w:name w:val="Нижний колонтитул Знак"/>
    <w:qFormat/>
    <w:rPr>
      <w:rFonts w:cs="Times New Roman"/>
    </w:rPr>
  </w:style>
  <w:style w:type="character" w:styleId="CommentReference">
    <w:name w:val="annotation reference"/>
    <w:qFormat/>
    <w:rPr>
      <w:rFonts w:cs="Times New Roman"/>
      <w:sz w:val="16"/>
    </w:rPr>
  </w:style>
  <w:style w:type="character" w:styleId="Style9" w:customStyle="1">
    <w:name w:val="Текст примечания Знак"/>
    <w:qFormat/>
    <w:rPr>
      <w:rFonts w:cs="Times New Roman"/>
      <w:sz w:val="20"/>
      <w:szCs w:val="20"/>
    </w:rPr>
  </w:style>
  <w:style w:type="character" w:styleId="Style10" w:customStyle="1">
    <w:name w:val="Тема примечания Знак"/>
    <w:qFormat/>
    <w:rPr>
      <w:rFonts w:cs="Times New Roman"/>
      <w:b/>
      <w:bCs/>
      <w:sz w:val="20"/>
      <w:szCs w:val="20"/>
    </w:rPr>
  </w:style>
  <w:style w:type="character" w:styleId="Style11" w:customStyle="1">
    <w:name w:val="Текст выноски Знак"/>
    <w:uiPriority w:val="99"/>
    <w:qFormat/>
    <w:rPr>
      <w:rFonts w:cs="Times New Roman"/>
      <w:sz w:val="2"/>
    </w:rPr>
  </w:style>
  <w:style w:type="character" w:styleId="22" w:customStyle="1">
    <w:name w:val="Основной текст 2 Знак"/>
    <w:qFormat/>
    <w:rPr>
      <w:sz w:val="24"/>
    </w:rPr>
  </w:style>
  <w:style w:type="character" w:styleId="Style12" w:customStyle="1">
    <w:name w:val="Название Знак"/>
    <w:basedOn w:val="DefaultParagraphFont"/>
    <w:qFormat/>
    <w:rPr>
      <w:rFonts w:ascii="Calibri Light" w:hAnsi="Calibri Light"/>
      <w:spacing w:val="-10"/>
      <w:kern w:val="2"/>
      <w:sz w:val="56"/>
      <w:szCs w:val="56"/>
    </w:rPr>
  </w:style>
  <w:style w:type="character" w:styleId="Style13" w:customStyle="1">
    <w:name w:val="Подзаголовок Знак"/>
    <w:qFormat/>
    <w:rPr>
      <w:rFonts w:ascii="Cambria" w:hAnsi="Cambria" w:eastAsia="Times New Roman" w:cs="Times New Roman"/>
      <w:i/>
      <w:iCs/>
      <w:color w:val="4F81BD"/>
      <w:spacing w:val="15"/>
      <w:sz w:val="24"/>
      <w:szCs w:val="24"/>
    </w:rPr>
  </w:style>
  <w:style w:type="character" w:styleId="Style14" w:customStyle="1">
    <w:name w:val="Дата Знак"/>
    <w:qFormat/>
    <w:rPr>
      <w:rFonts w:cs="Times New Roman"/>
      <w:sz w:val="28"/>
      <w:szCs w:val="28"/>
    </w:rPr>
  </w:style>
  <w:style w:type="character" w:styleId="31" w:customStyle="1">
    <w:name w:val="Основной текст с отступом 3 Знак"/>
    <w:qFormat/>
    <w:rPr>
      <w:rFonts w:cs="Times New Roman"/>
      <w:sz w:val="16"/>
      <w:szCs w:val="16"/>
    </w:rPr>
  </w:style>
  <w:style w:type="character" w:styleId="Style15" w:customStyle="1">
    <w:name w:val="Верхний колонтитул Знак"/>
    <w:qFormat/>
    <w:rPr>
      <w:rFonts w:cs="Times New Roman"/>
      <w:sz w:val="28"/>
      <w:szCs w:val="28"/>
    </w:rPr>
  </w:style>
  <w:style w:type="character" w:styleId="Style16" w:customStyle="1">
    <w:name w:val="Символ сноски"/>
    <w:qFormat/>
    <w:rPr>
      <w:rFonts w:ascii="Times New Roman" w:hAnsi="Times New Roman" w:cs="Times New Roman"/>
      <w:vertAlign w:val="superscript"/>
    </w:rPr>
  </w:style>
  <w:style w:type="character" w:styleId="FootnoteReference">
    <w:name w:val="footnote reference"/>
    <w:rPr>
      <w:rFonts w:ascii="Times New Roman" w:hAnsi="Times New Roman" w:cs="Times New Roman"/>
      <w:vertAlign w:val="superscript"/>
    </w:rPr>
  </w:style>
  <w:style w:type="character" w:styleId="Style17" w:customStyle="1">
    <w:name w:val="Текст сноски Знак"/>
    <w:qFormat/>
    <w:rPr>
      <w:rFonts w:cs="Times New Roman"/>
    </w:rPr>
  </w:style>
  <w:style w:type="character" w:styleId="PageNumber">
    <w:name w:val="page number"/>
    <w:qFormat/>
    <w:rPr>
      <w:rFonts w:ascii="Times New Roman" w:hAnsi="Times New Roman" w:cs="Times New Roman"/>
    </w:rPr>
  </w:style>
  <w:style w:type="character" w:styleId="32" w:customStyle="1">
    <w:name w:val="Основной текст 3 Знак"/>
    <w:qFormat/>
    <w:rPr>
      <w:rFonts w:cs="Times New Roman"/>
      <w:sz w:val="16"/>
      <w:szCs w:val="16"/>
    </w:rPr>
  </w:style>
  <w:style w:type="character" w:styleId="Style18" w:customStyle="1">
    <w:name w:val="Текст Знак"/>
    <w:qFormat/>
    <w:rPr>
      <w:rFonts w:ascii="Courier New" w:hAnsi="Courier New" w:cs="Courier New"/>
      <w:sz w:val="20"/>
      <w:szCs w:val="20"/>
    </w:rPr>
  </w:style>
  <w:style w:type="character" w:styleId="Style19" w:customStyle="1">
    <w:name w:val="Знак Знак"/>
    <w:qFormat/>
    <w:rPr>
      <w:rFonts w:ascii="Arial" w:hAnsi="Arial"/>
      <w:sz w:val="24"/>
      <w:lang w:val="ru-RU" w:eastAsia="ru-RU"/>
    </w:rPr>
  </w:style>
  <w:style w:type="character" w:styleId="Style20" w:customStyle="1">
    <w:name w:val="Основной шрифт"/>
    <w:qFormat/>
    <w:rPr/>
  </w:style>
  <w:style w:type="character" w:styleId="HTML" w:customStyle="1">
    <w:name w:val="Адрес HTML Знак"/>
    <w:qFormat/>
    <w:rPr>
      <w:rFonts w:cs="Times New Roman"/>
      <w:i/>
      <w:iCs/>
      <w:sz w:val="28"/>
      <w:szCs w:val="28"/>
    </w:rPr>
  </w:style>
  <w:style w:type="character" w:styleId="HTMLAcronym">
    <w:name w:val="HTML Acronym"/>
    <w:qFormat/>
    <w:rPr>
      <w:rFonts w:cs="Times New Roman"/>
    </w:rPr>
  </w:style>
  <w:style w:type="character" w:styleId="Emphasis">
    <w:name w:val="Emphasis"/>
    <w:qFormat/>
    <w:rPr>
      <w:i/>
      <w:iCs/>
    </w:rPr>
  </w:style>
  <w:style w:type="character" w:styleId="Hyperlink">
    <w:name w:val="Hyperlink"/>
    <w:uiPriority w:val="99"/>
    <w:rPr>
      <w:rFonts w:cs="Times New Roman"/>
      <w:color w:val="0000FF"/>
      <w:u w:val="single"/>
    </w:rPr>
  </w:style>
  <w:style w:type="character" w:styleId="Style21" w:customStyle="1">
    <w:name w:val="Заголовок записки Знак"/>
    <w:qFormat/>
    <w:rPr>
      <w:rFonts w:cs="Times New Roman"/>
      <w:sz w:val="28"/>
      <w:szCs w:val="28"/>
    </w:rPr>
  </w:style>
  <w:style w:type="character" w:styleId="HTMLKeyboard">
    <w:name w:val="HTML Keyboard"/>
    <w:qFormat/>
    <w:rPr>
      <w:rFonts w:ascii="Courier New" w:hAnsi="Courier New" w:cs="Times New Roman"/>
      <w:sz w:val="20"/>
    </w:rPr>
  </w:style>
  <w:style w:type="character" w:styleId="HTMLCode">
    <w:name w:val="HTML Code"/>
    <w:qFormat/>
    <w:rPr>
      <w:rFonts w:ascii="Courier New" w:hAnsi="Courier New" w:cs="Times New Roman"/>
      <w:sz w:val="20"/>
    </w:rPr>
  </w:style>
  <w:style w:type="character" w:styleId="Style22" w:customStyle="1">
    <w:name w:val="Красная строка Знак"/>
    <w:qFormat/>
    <w:rPr>
      <w:rFonts w:cs="Times New Roman"/>
      <w:sz w:val="28"/>
      <w:szCs w:val="28"/>
    </w:rPr>
  </w:style>
  <w:style w:type="character" w:styleId="23" w:customStyle="1">
    <w:name w:val="Красная строка 2 Знак"/>
    <w:basedOn w:val="Style6"/>
    <w:qFormat/>
    <w:rPr>
      <w:rFonts w:cs="Times New Roman"/>
      <w:sz w:val="28"/>
      <w:szCs w:val="28"/>
    </w:rPr>
  </w:style>
  <w:style w:type="character" w:styleId="LineNumber">
    <w:name w:val="line number"/>
    <w:qFormat/>
    <w:rPr>
      <w:rFonts w:cs="Times New Roman"/>
    </w:rPr>
  </w:style>
  <w:style w:type="character" w:styleId="HTMLSample">
    <w:name w:val="HTML Sample"/>
    <w:qFormat/>
    <w:rPr>
      <w:rFonts w:ascii="Courier New" w:hAnsi="Courier New" w:cs="Times New Roman"/>
    </w:rPr>
  </w:style>
  <w:style w:type="character" w:styleId="HTMLDefinition">
    <w:name w:val="HTML Definition"/>
    <w:qFormat/>
    <w:rPr>
      <w:rFonts w:cs="Times New Roman"/>
      <w:i/>
    </w:rPr>
  </w:style>
  <w:style w:type="character" w:styleId="HTMLVariable">
    <w:name w:val="HTML Variable"/>
    <w:qFormat/>
    <w:rPr>
      <w:rFonts w:cs="Times New Roman"/>
      <w:i/>
    </w:rPr>
  </w:style>
  <w:style w:type="character" w:styleId="HTMLTypewriter">
    <w:name w:val="HTML Typewriter"/>
    <w:qFormat/>
    <w:rPr>
      <w:rFonts w:ascii="Courier New" w:hAnsi="Courier New" w:cs="Times New Roman"/>
      <w:sz w:val="20"/>
    </w:rPr>
  </w:style>
  <w:style w:type="character" w:styleId="Style23" w:customStyle="1">
    <w:name w:val="Подпись Знак"/>
    <w:qFormat/>
    <w:rPr>
      <w:rFonts w:cs="Times New Roman"/>
      <w:sz w:val="28"/>
      <w:szCs w:val="28"/>
    </w:rPr>
  </w:style>
  <w:style w:type="character" w:styleId="Style24" w:customStyle="1">
    <w:name w:val="Приветствие Знак"/>
    <w:qFormat/>
    <w:rPr>
      <w:rFonts w:cs="Times New Roman"/>
      <w:sz w:val="28"/>
      <w:szCs w:val="28"/>
    </w:rPr>
  </w:style>
  <w:style w:type="character" w:styleId="FollowedHyperlink">
    <w:name w:val="FollowedHyperlink"/>
    <w:rPr>
      <w:rFonts w:cs="Times New Roman"/>
      <w:color w:val="800080"/>
      <w:u w:val="single"/>
    </w:rPr>
  </w:style>
  <w:style w:type="character" w:styleId="Style25" w:customStyle="1">
    <w:name w:val="Прощание Знак"/>
    <w:qFormat/>
    <w:rPr>
      <w:rFonts w:cs="Times New Roman"/>
      <w:sz w:val="28"/>
      <w:szCs w:val="28"/>
    </w:rPr>
  </w:style>
  <w:style w:type="character" w:styleId="HTML1" w:customStyle="1">
    <w:name w:val="Стандартный HTML Знак"/>
    <w:qFormat/>
    <w:rPr>
      <w:rFonts w:ascii="Courier New" w:hAnsi="Courier New" w:cs="Courier New"/>
      <w:sz w:val="20"/>
      <w:szCs w:val="20"/>
    </w:rPr>
  </w:style>
  <w:style w:type="character" w:styleId="Strong">
    <w:name w:val="Strong"/>
    <w:qFormat/>
    <w:rPr>
      <w:b/>
      <w:bCs/>
    </w:rPr>
  </w:style>
  <w:style w:type="character" w:styleId="HTMLCite">
    <w:name w:val="HTML Cite"/>
    <w:qFormat/>
    <w:rPr>
      <w:rFonts w:cs="Times New Roman"/>
      <w:i/>
    </w:rPr>
  </w:style>
  <w:style w:type="character" w:styleId="Style26" w:customStyle="1">
    <w:name w:val="Шапка Знак"/>
    <w:qFormat/>
    <w:rPr>
      <w:rFonts w:ascii="Cambria" w:hAnsi="Cambria" w:cs="Times New Roman"/>
      <w:sz w:val="24"/>
      <w:szCs w:val="24"/>
      <w:shd w:fill="auto" w:val="clear"/>
    </w:rPr>
  </w:style>
  <w:style w:type="character" w:styleId="Style27" w:customStyle="1">
    <w:name w:val="Электронная подпись Знак"/>
    <w:qFormat/>
    <w:rPr>
      <w:rFonts w:cs="Times New Roman"/>
      <w:sz w:val="28"/>
      <w:szCs w:val="28"/>
    </w:rPr>
  </w:style>
  <w:style w:type="character" w:styleId="13" w:customStyle="1">
    <w:name w:val="Знак Знак1"/>
    <w:qFormat/>
    <w:rPr>
      <w:sz w:val="24"/>
      <w:lang w:val="ru-RU" w:eastAsia="ru-RU"/>
    </w:rPr>
  </w:style>
  <w:style w:type="character" w:styleId="33" w:customStyle="1">
    <w:name w:val="Стиль3 Знак Знак"/>
    <w:qFormat/>
    <w:rPr>
      <w:rFonts w:cs="Times New Roman"/>
      <w:sz w:val="24"/>
      <w:lang w:val="ru-RU" w:eastAsia="ru-RU" w:bidi="ar-SA"/>
    </w:rPr>
  </w:style>
  <w:style w:type="character" w:styleId="34" w:customStyle="1">
    <w:name w:val="Стиль3 Знак Знак Знак"/>
    <w:qFormat/>
    <w:rPr>
      <w:rFonts w:cs="Times New Roman"/>
      <w:sz w:val="24"/>
      <w:lang w:val="ru-RU" w:eastAsia="ru-RU" w:bidi="ar-SA"/>
    </w:rPr>
  </w:style>
  <w:style w:type="character" w:styleId="35" w:customStyle="1">
    <w:name w:val="Стиль3 Знак Знак Знак Знак"/>
    <w:qFormat/>
    <w:rPr>
      <w:rFonts w:cs="Times New Roman"/>
      <w:sz w:val="24"/>
      <w:lang w:val="ru-RU" w:eastAsia="ru-RU" w:bidi="ar-SA"/>
    </w:rPr>
  </w:style>
  <w:style w:type="character" w:styleId="311" w:customStyle="1">
    <w:name w:val="Стиль3 Знак Знак1"/>
    <w:qFormat/>
    <w:rPr>
      <w:sz w:val="24"/>
      <w:lang w:val="ru-RU" w:eastAsia="ru-RU"/>
    </w:rPr>
  </w:style>
  <w:style w:type="character" w:styleId="24" w:customStyle="1">
    <w:name w:val="Заголовок 2 Знак"/>
    <w:basedOn w:val="DefaultParagraphFont"/>
    <w:qFormat/>
    <w:rPr>
      <w:rFonts w:ascii="Times New Roman" w:hAnsi="Times New Roman"/>
      <w:bCs/>
      <w:sz w:val="22"/>
      <w:szCs w:val="26"/>
      <w:lang w:val="ru-RU" w:eastAsia="en-US"/>
    </w:rPr>
  </w:style>
  <w:style w:type="character" w:styleId="maintext" w:customStyle="1">
    <w:name w:val="maintext"/>
    <w:qFormat/>
    <w:rPr>
      <w:rFonts w:cs="Times New Roman"/>
    </w:rPr>
  </w:style>
  <w:style w:type="character" w:styleId="Style28" w:customStyle="1">
    <w:name w:val="Василий"/>
    <w:qFormat/>
    <w:rPr>
      <w:rFonts w:ascii="Arial" w:hAnsi="Arial"/>
      <w:color w:val="auto"/>
      <w:sz w:val="20"/>
    </w:rPr>
  </w:style>
  <w:style w:type="character" w:styleId="Style29" w:customStyle="1">
    <w:name w:val="Схема документа Знак"/>
    <w:qFormat/>
    <w:rPr>
      <w:rFonts w:cs="Times New Roman"/>
      <w:sz w:val="2"/>
    </w:rPr>
  </w:style>
  <w:style w:type="character" w:styleId="r" w:customStyle="1">
    <w:name w:val="r"/>
    <w:qFormat/>
    <w:rPr/>
  </w:style>
  <w:style w:type="character" w:styleId="blk" w:customStyle="1">
    <w:name w:val="blk"/>
    <w:qFormat/>
    <w:rPr/>
  </w:style>
  <w:style w:type="character" w:styleId="f" w:customStyle="1">
    <w:name w:val="f"/>
    <w:qFormat/>
    <w:rPr/>
  </w:style>
  <w:style w:type="character" w:styleId="diffins" w:customStyle="1">
    <w:name w:val="diff_ins"/>
    <w:qFormat/>
    <w:rPr/>
  </w:style>
  <w:style w:type="character" w:styleId="ConsPlusNormal" w:customStyle="1">
    <w:name w:val="ConsPlusNormal Знак"/>
    <w:qFormat/>
    <w:rPr>
      <w:rFonts w:ascii="Arial" w:hAnsi="Arial" w:cs="Arial"/>
      <w:sz w:val="22"/>
      <w:szCs w:val="22"/>
      <w:lang w:eastAsia="ru-RU" w:bidi="ar-SA"/>
    </w:rPr>
  </w:style>
  <w:style w:type="character" w:styleId="LBGovstyle1-Alt" w:customStyle="1">
    <w:name w:val="LB Gov style 1 - Alt Знак"/>
    <w:basedOn w:val="DefaultParagraphFont"/>
    <w:qFormat/>
    <w:rPr>
      <w:rFonts w:ascii="Times New Roman" w:hAnsi="Times New Roman"/>
      <w:sz w:val="22"/>
      <w:szCs w:val="22"/>
      <w:lang w:val="en-US" w:eastAsia="en-US"/>
    </w:rPr>
  </w:style>
  <w:style w:type="character" w:styleId="Style30" w:customStyle="1">
    <w:name w:val="Абзац списка Знак"/>
    <w:link w:val="ListParagraph"/>
    <w:uiPriority w:val="34"/>
    <w:qFormat/>
    <w:locked/>
    <w:rsid w:val="004a0bc6"/>
    <w:rPr>
      <w:rFonts w:ascii="Times New Roman" w:hAnsi="Times New Roman"/>
      <w:sz w:val="22"/>
      <w:szCs w:val="22"/>
      <w:lang w:val="ru-RU" w:eastAsia="en-US"/>
    </w:rPr>
  </w:style>
  <w:style w:type="character" w:styleId="Style31" w:customStyle="1">
    <w:name w:val="Символ концевой сноски"/>
    <w:qFormat/>
    <w:rPr>
      <w:vertAlign w:val="superscript"/>
    </w:rPr>
  </w:style>
  <w:style w:type="character" w:styleId="EndnoteReference">
    <w:name w:val="endnote reference"/>
    <w:rPr>
      <w:vertAlign w:val="superscript"/>
    </w:rPr>
  </w:style>
  <w:style w:type="character" w:styleId="highlightcolor">
    <w:name w:val="highlightcolor"/>
    <w:basedOn w:val="DefaultParagraphFont"/>
    <w:qFormat/>
    <w:rPr/>
  </w:style>
  <w:style w:type="character" w:styleId="Style32">
    <w:name w:val="Маркеры"/>
    <w:qFormat/>
    <w:rPr>
      <w:rFonts w:ascii="OpenSymbol" w:hAnsi="OpenSymbol" w:eastAsia="OpenSymbol" w:cs="OpenSymbol"/>
    </w:rPr>
  </w:style>
  <w:style w:type="paragraph" w:styleId="Style33">
    <w:name w:val="Заголовок"/>
    <w:basedOn w:val="Normal"/>
    <w:next w:val="BodyText"/>
    <w:qFormat/>
    <w:pPr>
      <w:keepNext w:val="true"/>
      <w:spacing w:before="240" w:after="120"/>
    </w:pPr>
    <w:rPr>
      <w:rFonts w:ascii="Open Sans" w:hAnsi="Open Sans" w:eastAsia="WenQuanYi Micro Hei" w:cs="Lohit Devanagari"/>
      <w:sz w:val="28"/>
      <w:szCs w:val="28"/>
    </w:rPr>
  </w:style>
  <w:style w:type="paragraph" w:styleId="BodyText">
    <w:name w:val="Body Text"/>
    <w:basedOn w:val="Normal"/>
    <w:pPr>
      <w:spacing w:before="0" w:after="120"/>
    </w:pPr>
    <w:rPr>
      <w:sz w:val="28"/>
      <w:szCs w:val="20"/>
    </w:rPr>
  </w:style>
  <w:style w:type="paragraph" w:styleId="List">
    <w:name w:val="List"/>
    <w:basedOn w:val="Normal"/>
    <w:pPr>
      <w:spacing w:lineRule="auto" w:line="240" w:before="0" w:after="60"/>
      <w:ind w:hanging="283" w:left="283"/>
    </w:pPr>
    <w:rPr>
      <w:sz w:val="24"/>
      <w:szCs w:val="24"/>
    </w:rPr>
  </w:style>
  <w:style w:type="paragraph" w:styleId="Caption">
    <w:name w:val="caption"/>
    <w:basedOn w:val="Normal"/>
    <w:qFormat/>
    <w:pPr>
      <w:suppressLineNumbers/>
      <w:spacing w:before="120" w:after="120"/>
    </w:pPr>
    <w:rPr>
      <w:rFonts w:cs="Lohit Devanagari"/>
      <w:i/>
      <w:iCs/>
      <w:sz w:val="24"/>
      <w:szCs w:val="24"/>
    </w:rPr>
  </w:style>
  <w:style w:type="paragraph" w:styleId="Style34">
    <w:name w:val="Указатель"/>
    <w:basedOn w:val="Normal"/>
    <w:qFormat/>
    <w:pPr>
      <w:suppressLineNumbers/>
    </w:pPr>
    <w:rPr>
      <w:rFonts w:cs="Lohit Devanagari"/>
    </w:rPr>
  </w:style>
  <w:style w:type="paragraph" w:styleId="14" w:customStyle="1">
    <w:name w:val="Заголовок1"/>
    <w:next w:val="BodyText"/>
    <w:qFormat/>
    <w:pPr>
      <w:widowControl w:val="false"/>
      <w:suppressAutoHyphens w:val="true"/>
      <w:bidi w:val="0"/>
      <w:spacing w:lineRule="auto" w:line="276" w:before="0" w:after="200"/>
      <w:jc w:val="left"/>
      <w:textAlignment w:val="baseline"/>
    </w:pPr>
    <w:rPr>
      <w:rFonts w:ascii="Arial" w:hAnsi="Arial" w:eastAsia="Calibri" w:cs="Arial"/>
      <w:b/>
      <w:bCs/>
      <w:color w:val="auto"/>
      <w:kern w:val="0"/>
      <w:sz w:val="22"/>
      <w:szCs w:val="22"/>
      <w:lang w:val="ru-RU" w:eastAsia="ru-RU" w:bidi="ar-SA"/>
    </w:rPr>
  </w:style>
  <w:style w:type="paragraph" w:styleId="caption1">
    <w:name w:val="caption1"/>
    <w:basedOn w:val="Normal"/>
    <w:qFormat/>
    <w:pPr>
      <w:suppressLineNumbers/>
      <w:spacing w:before="120" w:after="120"/>
    </w:pPr>
    <w:rPr>
      <w:rFonts w:cs="Lohit Devanagari"/>
      <w:i/>
      <w:iCs/>
      <w:sz w:val="24"/>
      <w:szCs w:val="24"/>
    </w:rPr>
  </w:style>
  <w:style w:type="paragraph" w:styleId="IndexHeading">
    <w:name w:val="index heading"/>
    <w:basedOn w:val="Normal"/>
    <w:qFormat/>
    <w:pPr>
      <w:suppressLineNumbers/>
    </w:pPr>
    <w:rPr>
      <w:rFonts w:cs="Lohit Devanagari"/>
    </w:rPr>
  </w:style>
  <w:style w:type="paragraph" w:styleId="ConsPlusNormal1" w:customStyle="1">
    <w:name w:val="ConsPlusNormal"/>
    <w:qFormat/>
    <w:pPr>
      <w:widowControl w:val="false"/>
      <w:suppressAutoHyphens w:val="true"/>
      <w:bidi w:val="0"/>
      <w:spacing w:before="0" w:after="0"/>
      <w:ind w:firstLine="720"/>
      <w:jc w:val="left"/>
      <w:textAlignment w:val="baseline"/>
    </w:pPr>
    <w:rPr>
      <w:rFonts w:ascii="Arial" w:hAnsi="Arial" w:eastAsia="Calibri" w:cs="Arial"/>
      <w:color w:val="auto"/>
      <w:kern w:val="0"/>
      <w:sz w:val="22"/>
      <w:szCs w:val="22"/>
      <w:lang w:val="en-AU" w:eastAsia="ru-RU" w:bidi="ar-SA"/>
    </w:rPr>
  </w:style>
  <w:style w:type="paragraph" w:styleId="BodyTextIndent">
    <w:name w:val="Body Text Indent"/>
    <w:basedOn w:val="Normal"/>
    <w:pPr>
      <w:spacing w:lineRule="auto" w:line="240"/>
    </w:pPr>
    <w:rPr>
      <w:sz w:val="28"/>
      <w:szCs w:val="28"/>
    </w:rPr>
  </w:style>
  <w:style w:type="paragraph" w:styleId="BodyTextIndent2">
    <w:name w:val="Body Text Indent 2"/>
    <w:basedOn w:val="Normal"/>
    <w:qFormat/>
    <w:pPr>
      <w:spacing w:lineRule="auto" w:line="480" w:before="0" w:after="120"/>
      <w:ind w:left="283"/>
    </w:pPr>
    <w:rPr>
      <w:sz w:val="28"/>
      <w:szCs w:val="28"/>
    </w:rPr>
  </w:style>
  <w:style w:type="paragraph" w:styleId="211" w:customStyle="1">
    <w:name w:val="Основной текст 21"/>
    <w:basedOn w:val="Normal"/>
    <w:qFormat/>
    <w:pPr>
      <w:spacing w:lineRule="auto" w:line="240"/>
    </w:pPr>
    <w:rPr>
      <w:sz w:val="24"/>
      <w:szCs w:val="20"/>
    </w:rPr>
  </w:style>
  <w:style w:type="paragraph" w:styleId="Style35" w:customStyle="1">
    <w:name w:val="Колонтитул"/>
    <w:basedOn w:val="Normal"/>
    <w:qFormat/>
    <w:pPr/>
    <w:rPr/>
  </w:style>
  <w:style w:type="paragraph" w:styleId="HeaderandFooter">
    <w:name w:val="Header and Footer"/>
    <w:basedOn w:val="Normal"/>
    <w:qFormat/>
    <w:pPr/>
    <w:rPr/>
  </w:style>
  <w:style w:type="paragraph" w:styleId="Footer">
    <w:name w:val="footer"/>
    <w:basedOn w:val="Normal"/>
    <w:pPr>
      <w:widowControl w:val="false"/>
      <w:tabs>
        <w:tab w:val="clear" w:pos="708"/>
        <w:tab w:val="center" w:pos="4153" w:leader="none"/>
        <w:tab w:val="right" w:pos="8306" w:leader="none"/>
      </w:tabs>
      <w:spacing w:lineRule="auto" w:line="240"/>
    </w:pPr>
    <w:rPr>
      <w:sz w:val="20"/>
      <w:szCs w:val="20"/>
    </w:rPr>
  </w:style>
  <w:style w:type="paragraph" w:styleId="Style36" w:customStyle="1">
    <w:name w:val="Обычный + по ширине"/>
    <w:basedOn w:val="Normal"/>
    <w:qFormat/>
    <w:pPr>
      <w:spacing w:lineRule="auto" w:line="240"/>
    </w:pPr>
    <w:rPr>
      <w:sz w:val="24"/>
      <w:szCs w:val="24"/>
    </w:rPr>
  </w:style>
  <w:style w:type="paragraph" w:styleId="CommentText">
    <w:name w:val="annotation text"/>
    <w:basedOn w:val="Normal"/>
    <w:qFormat/>
    <w:pPr>
      <w:spacing w:lineRule="auto" w:line="240"/>
    </w:pPr>
    <w:rPr>
      <w:sz w:val="20"/>
      <w:szCs w:val="20"/>
    </w:rPr>
  </w:style>
  <w:style w:type="paragraph" w:styleId="annotationsubject">
    <w:name w:val="annotation subject"/>
    <w:basedOn w:val="CommentText"/>
    <w:next w:val="CommentText"/>
    <w:qFormat/>
    <w:pPr/>
    <w:rPr>
      <w:b/>
      <w:bCs/>
    </w:rPr>
  </w:style>
  <w:style w:type="paragraph" w:styleId="BalloonText">
    <w:name w:val="Balloon Text"/>
    <w:basedOn w:val="Normal"/>
    <w:uiPriority w:val="99"/>
    <w:qFormat/>
    <w:pPr>
      <w:spacing w:lineRule="auto" w:line="240"/>
    </w:pPr>
    <w:rPr>
      <w:sz w:val="2"/>
      <w:szCs w:val="20"/>
    </w:rPr>
  </w:style>
  <w:style w:type="paragraph" w:styleId="BodyText2">
    <w:name w:val="Body Text 2"/>
    <w:basedOn w:val="Normal"/>
    <w:qFormat/>
    <w:pPr>
      <w:spacing w:before="0" w:after="60"/>
    </w:pPr>
    <w:rPr>
      <w:sz w:val="24"/>
      <w:szCs w:val="20"/>
    </w:rPr>
  </w:style>
  <w:style w:type="paragraph" w:styleId="ListBullet">
    <w:name w:val="List Bullet"/>
    <w:basedOn w:val="Normal"/>
    <w:autoRedefine/>
    <w:pPr>
      <w:widowControl w:val="false"/>
      <w:spacing w:lineRule="auto" w:line="240" w:before="0" w:after="60"/>
    </w:pPr>
    <w:rPr>
      <w:sz w:val="24"/>
      <w:szCs w:val="24"/>
    </w:rPr>
  </w:style>
  <w:style w:type="paragraph" w:styleId="ListBullet2">
    <w:name w:val="List Bullet 2"/>
    <w:basedOn w:val="Normal"/>
    <w:autoRedefine/>
    <w:pPr>
      <w:tabs>
        <w:tab w:val="clear" w:pos="708"/>
        <w:tab w:val="left" w:pos="643" w:leader="none"/>
        <w:tab w:val="left" w:pos="1209" w:leader="none"/>
      </w:tabs>
      <w:spacing w:lineRule="auto" w:line="240" w:before="0" w:after="60"/>
      <w:ind w:hanging="360" w:left="643"/>
    </w:pPr>
    <w:rPr>
      <w:sz w:val="24"/>
      <w:szCs w:val="20"/>
    </w:rPr>
  </w:style>
  <w:style w:type="paragraph" w:styleId="ListBullet3">
    <w:name w:val="List Bullet 3"/>
    <w:basedOn w:val="Normal"/>
    <w:autoRedefine/>
    <w:pPr>
      <w:tabs>
        <w:tab w:val="clear" w:pos="708"/>
        <w:tab w:val="left" w:pos="926" w:leader="none"/>
        <w:tab w:val="left" w:pos="1492" w:leader="none"/>
      </w:tabs>
      <w:spacing w:lineRule="auto" w:line="240" w:before="0" w:after="60"/>
      <w:ind w:hanging="360" w:left="926"/>
    </w:pPr>
    <w:rPr>
      <w:sz w:val="24"/>
      <w:szCs w:val="20"/>
    </w:rPr>
  </w:style>
  <w:style w:type="paragraph" w:styleId="ListBullet4">
    <w:name w:val="List Bullet 4"/>
    <w:basedOn w:val="Normal"/>
    <w:autoRedefine/>
    <w:pPr>
      <w:tabs>
        <w:tab w:val="clear" w:pos="708"/>
        <w:tab w:val="left" w:pos="1209" w:leader="none"/>
      </w:tabs>
      <w:spacing w:lineRule="auto" w:line="240" w:before="0" w:after="60"/>
      <w:ind w:hanging="360" w:left="1209"/>
    </w:pPr>
    <w:rPr>
      <w:sz w:val="24"/>
      <w:szCs w:val="20"/>
    </w:rPr>
  </w:style>
  <w:style w:type="paragraph" w:styleId="ListBullet5">
    <w:name w:val="List Bullet 5"/>
    <w:basedOn w:val="Normal"/>
    <w:autoRedefine/>
    <w:pPr>
      <w:tabs>
        <w:tab w:val="clear" w:pos="708"/>
        <w:tab w:val="left" w:pos="643" w:leader="none"/>
        <w:tab w:val="left" w:pos="1492" w:leader="none"/>
      </w:tabs>
      <w:spacing w:lineRule="auto" w:line="240" w:before="0" w:after="60"/>
      <w:ind w:hanging="360" w:left="1492"/>
    </w:pPr>
    <w:rPr>
      <w:sz w:val="24"/>
      <w:szCs w:val="20"/>
    </w:rPr>
  </w:style>
  <w:style w:type="paragraph" w:styleId="ListNumber">
    <w:name w:val="List Number"/>
    <w:basedOn w:val="Normal"/>
    <w:pPr>
      <w:tabs>
        <w:tab w:val="clear" w:pos="708"/>
        <w:tab w:val="left" w:pos="926" w:leader="none"/>
      </w:tabs>
      <w:spacing w:lineRule="auto" w:line="240" w:before="0" w:after="60"/>
      <w:ind w:hanging="360" w:left="360"/>
    </w:pPr>
    <w:rPr>
      <w:sz w:val="24"/>
      <w:szCs w:val="20"/>
    </w:rPr>
  </w:style>
  <w:style w:type="paragraph" w:styleId="ListNumber2">
    <w:name w:val="List Number 2"/>
    <w:basedOn w:val="Normal"/>
    <w:pPr>
      <w:tabs>
        <w:tab w:val="clear" w:pos="708"/>
        <w:tab w:val="left" w:pos="643" w:leader="none"/>
        <w:tab w:val="left" w:pos="1209" w:leader="none"/>
      </w:tabs>
      <w:spacing w:lineRule="auto" w:line="240" w:before="0" w:after="60"/>
      <w:ind w:hanging="360" w:left="643"/>
    </w:pPr>
    <w:rPr>
      <w:sz w:val="24"/>
      <w:szCs w:val="20"/>
    </w:rPr>
  </w:style>
  <w:style w:type="paragraph" w:styleId="ListNumber3">
    <w:name w:val="List Number 3"/>
    <w:basedOn w:val="Normal"/>
    <w:pPr>
      <w:tabs>
        <w:tab w:val="clear" w:pos="708"/>
        <w:tab w:val="left" w:pos="926" w:leader="none"/>
      </w:tabs>
      <w:spacing w:lineRule="auto" w:line="240" w:before="0" w:after="60"/>
      <w:ind w:hanging="360" w:left="926"/>
    </w:pPr>
    <w:rPr>
      <w:sz w:val="24"/>
      <w:szCs w:val="20"/>
    </w:rPr>
  </w:style>
  <w:style w:type="paragraph" w:styleId="ListNumber4">
    <w:name w:val="List Number 4"/>
    <w:basedOn w:val="Normal"/>
    <w:pPr>
      <w:tabs>
        <w:tab w:val="clear" w:pos="708"/>
        <w:tab w:val="left" w:pos="1209" w:leader="none"/>
      </w:tabs>
      <w:spacing w:lineRule="auto" w:line="240" w:before="0" w:after="60"/>
      <w:ind w:hanging="360" w:left="1209"/>
    </w:pPr>
    <w:rPr>
      <w:sz w:val="24"/>
      <w:szCs w:val="20"/>
    </w:rPr>
  </w:style>
  <w:style w:type="paragraph" w:styleId="ListNumber5">
    <w:name w:val="List Number 5"/>
    <w:basedOn w:val="Normal"/>
    <w:pPr>
      <w:tabs>
        <w:tab w:val="clear" w:pos="708"/>
        <w:tab w:val="left" w:pos="643" w:leader="none"/>
        <w:tab w:val="left" w:pos="1492" w:leader="none"/>
      </w:tabs>
      <w:spacing w:lineRule="auto" w:line="240" w:before="0" w:after="60"/>
      <w:ind w:hanging="360" w:left="1492"/>
    </w:pPr>
    <w:rPr>
      <w:sz w:val="24"/>
      <w:szCs w:val="20"/>
    </w:rPr>
  </w:style>
  <w:style w:type="paragraph" w:styleId="Style37" w:customStyle="1">
    <w:name w:val="Раздел"/>
    <w:basedOn w:val="Normal"/>
    <w:qFormat/>
    <w:pPr>
      <w:numPr>
        <w:ilvl w:val="0"/>
        <w:numId w:val="13"/>
      </w:numPr>
      <w:spacing w:before="120" w:after="120"/>
      <w:jc w:val="center"/>
    </w:pPr>
    <w:rPr>
      <w:rFonts w:ascii="Arial Narrow" w:hAnsi="Arial Narrow"/>
      <w:b/>
      <w:szCs w:val="20"/>
    </w:rPr>
  </w:style>
  <w:style w:type="paragraph" w:styleId="Style38" w:customStyle="1">
    <w:name w:val="Часть"/>
    <w:basedOn w:val="Normal"/>
    <w:qFormat/>
    <w:pPr>
      <w:spacing w:lineRule="auto" w:line="240" w:before="0" w:after="60"/>
      <w:jc w:val="center"/>
    </w:pPr>
    <w:rPr>
      <w:rFonts w:ascii="Arial" w:hAnsi="Arial"/>
      <w:b/>
      <w:caps/>
      <w:sz w:val="32"/>
      <w:szCs w:val="20"/>
    </w:rPr>
  </w:style>
  <w:style w:type="paragraph" w:styleId="36" w:customStyle="1">
    <w:name w:val="Раздел 3"/>
    <w:basedOn w:val="Normal"/>
    <w:qFormat/>
    <w:pPr>
      <w:numPr>
        <w:ilvl w:val="0"/>
        <w:numId w:val="14"/>
      </w:numPr>
      <w:spacing w:before="120" w:after="120"/>
      <w:jc w:val="center"/>
    </w:pPr>
    <w:rPr>
      <w:b/>
      <w:sz w:val="24"/>
      <w:szCs w:val="20"/>
    </w:rPr>
  </w:style>
  <w:style w:type="paragraph" w:styleId="Style39" w:customStyle="1">
    <w:name w:val="Условия контракта"/>
    <w:basedOn w:val="Normal"/>
    <w:qFormat/>
    <w:pPr>
      <w:numPr>
        <w:ilvl w:val="0"/>
        <w:numId w:val="15"/>
      </w:numPr>
      <w:spacing w:before="240" w:after="120"/>
    </w:pPr>
    <w:rPr>
      <w:b/>
      <w:sz w:val="24"/>
      <w:szCs w:val="20"/>
    </w:rPr>
  </w:style>
  <w:style w:type="paragraph" w:styleId="Instruction" w:customStyle="1">
    <w:name w:val="Instruction"/>
    <w:basedOn w:val="BodyText2"/>
    <w:qFormat/>
    <w:pPr>
      <w:tabs>
        <w:tab w:val="clear" w:pos="708"/>
        <w:tab w:val="left" w:pos="720" w:leader="none"/>
      </w:tabs>
      <w:spacing w:before="180" w:after="60"/>
      <w:ind w:hanging="360" w:left="360"/>
    </w:pPr>
    <w:rPr>
      <w:b/>
    </w:rPr>
  </w:style>
  <w:style w:type="paragraph" w:styleId="Title">
    <w:name w:val="Title"/>
    <w:basedOn w:val="Normal"/>
    <w:next w:val="Normal"/>
    <w:qFormat/>
    <w:pPr>
      <w:spacing w:lineRule="auto" w:line="240" w:before="0" w:after="0"/>
      <w:jc w:val="both"/>
    </w:pPr>
    <w:rPr>
      <w:rFonts w:ascii="Calibri Light" w:hAnsi="Calibri Light"/>
      <w:spacing w:val="-10"/>
      <w:kern w:val="2"/>
      <w:sz w:val="56"/>
      <w:szCs w:val="56"/>
    </w:rPr>
  </w:style>
  <w:style w:type="paragraph" w:styleId="Subtitle">
    <w:name w:val="Subtitle"/>
    <w:basedOn w:val="Normal"/>
    <w:qFormat/>
    <w:pPr/>
    <w:rPr>
      <w:rFonts w:ascii="Cambria" w:hAnsi="Cambria" w:eastAsia="Times New Roman"/>
      <w:i/>
      <w:iCs/>
      <w:color w:val="4F81BD"/>
      <w:spacing w:val="15"/>
      <w:sz w:val="24"/>
      <w:szCs w:val="24"/>
    </w:rPr>
  </w:style>
  <w:style w:type="paragraph" w:styleId="Style40" w:customStyle="1">
    <w:name w:val="Тендерные данные"/>
    <w:basedOn w:val="Normal"/>
    <w:qFormat/>
    <w:pPr>
      <w:tabs>
        <w:tab w:val="clear" w:pos="708"/>
        <w:tab w:val="left" w:pos="1985" w:leader="none"/>
      </w:tabs>
      <w:spacing w:lineRule="auto" w:line="240" w:before="120" w:after="60"/>
    </w:pPr>
    <w:rPr>
      <w:b/>
      <w:sz w:val="24"/>
      <w:szCs w:val="20"/>
    </w:rPr>
  </w:style>
  <w:style w:type="paragraph" w:styleId="TOC3">
    <w:name w:val="toc 3"/>
    <w:basedOn w:val="Normal"/>
    <w:next w:val="Normal"/>
    <w:autoRedefine/>
    <w:pPr>
      <w:tabs>
        <w:tab w:val="clear" w:pos="708"/>
        <w:tab w:val="left" w:pos="1680" w:leader="none"/>
        <w:tab w:val="right" w:pos="10148" w:leader="dot"/>
      </w:tabs>
      <w:spacing w:lineRule="auto" w:line="240" w:before="100" w:after="200"/>
      <w:ind w:hanging="12" w:left="252"/>
    </w:pPr>
    <w:rPr>
      <w:sz w:val="20"/>
      <w:szCs w:val="20"/>
    </w:rPr>
  </w:style>
  <w:style w:type="paragraph" w:styleId="TOC1">
    <w:name w:val="toc 1"/>
    <w:basedOn w:val="Normal"/>
    <w:next w:val="Normal"/>
    <w:autoRedefine/>
    <w:pPr>
      <w:tabs>
        <w:tab w:val="clear" w:pos="708"/>
        <w:tab w:val="left" w:pos="1440" w:leader="none"/>
        <w:tab w:val="right" w:pos="9720" w:leader="dot"/>
      </w:tabs>
      <w:spacing w:lineRule="auto" w:line="240" w:before="100" w:after="200"/>
    </w:pPr>
    <w:rPr>
      <w:rFonts w:ascii="Arial" w:hAnsi="Arial" w:cs="Arial"/>
      <w:b/>
      <w:bCs/>
      <w:caps/>
      <w:sz w:val="24"/>
      <w:szCs w:val="24"/>
    </w:rPr>
  </w:style>
  <w:style w:type="paragraph" w:styleId="TOC2">
    <w:name w:val="toc 2"/>
    <w:basedOn w:val="Normal"/>
    <w:next w:val="Normal"/>
    <w:autoRedefine/>
    <w:pPr>
      <w:tabs>
        <w:tab w:val="clear" w:pos="708"/>
        <w:tab w:val="left" w:pos="960" w:leader="none"/>
        <w:tab w:val="right" w:pos="9720" w:leader="dot"/>
      </w:tabs>
      <w:spacing w:lineRule="auto" w:line="240" w:before="20" w:after="200"/>
      <w:ind w:left="360"/>
    </w:pPr>
    <w:rPr>
      <w:b/>
      <w:bCs/>
      <w:sz w:val="20"/>
      <w:szCs w:val="20"/>
    </w:rPr>
  </w:style>
  <w:style w:type="paragraph" w:styleId="Date">
    <w:name w:val="Date"/>
    <w:basedOn w:val="Normal"/>
    <w:next w:val="Normal"/>
    <w:qFormat/>
    <w:pPr>
      <w:spacing w:lineRule="auto" w:line="240" w:before="0" w:after="60"/>
    </w:pPr>
    <w:rPr>
      <w:sz w:val="28"/>
      <w:szCs w:val="28"/>
    </w:rPr>
  </w:style>
  <w:style w:type="paragraph" w:styleId="Style41" w:customStyle="1">
    <w:name w:val="Îáû÷íûé"/>
    <w:qFormat/>
    <w:pPr>
      <w:widowControl/>
      <w:suppressAutoHyphens w:val="true"/>
      <w:bidi w:val="0"/>
      <w:spacing w:lineRule="auto" w:line="276" w:before="0" w:after="200"/>
      <w:jc w:val="left"/>
      <w:textAlignment w:val="baseline"/>
    </w:pPr>
    <w:rPr>
      <w:rFonts w:ascii="Calibri" w:hAnsi="Calibri" w:eastAsia="Calibri" w:cs="Times New Roman"/>
      <w:color w:val="auto"/>
      <w:kern w:val="0"/>
      <w:sz w:val="22"/>
      <w:szCs w:val="22"/>
      <w:lang w:val="ru-RU" w:eastAsia="ru-RU" w:bidi="ar-SA"/>
    </w:rPr>
  </w:style>
  <w:style w:type="paragraph" w:styleId="Style42" w:customStyle="1">
    <w:name w:val="Íîðìàëüíûé"/>
    <w:qFormat/>
    <w:pPr>
      <w:widowControl/>
      <w:suppressAutoHyphens w:val="true"/>
      <w:bidi w:val="0"/>
      <w:spacing w:lineRule="auto" w:line="276" w:before="0" w:after="200"/>
      <w:jc w:val="left"/>
      <w:textAlignment w:val="baseline"/>
    </w:pPr>
    <w:rPr>
      <w:rFonts w:ascii="Courier" w:hAnsi="Courier" w:eastAsia="Calibri" w:cs="Times New Roman"/>
      <w:color w:val="auto"/>
      <w:kern w:val="0"/>
      <w:sz w:val="24"/>
      <w:szCs w:val="22"/>
      <w:lang w:val="en-GB" w:eastAsia="ru-RU" w:bidi="ar-SA"/>
    </w:rPr>
  </w:style>
  <w:style w:type="paragraph" w:styleId="Style43" w:customStyle="1">
    <w:name w:val="Подраздел"/>
    <w:basedOn w:val="Normal"/>
    <w:qFormat/>
    <w:pPr>
      <w:spacing w:lineRule="auto" w:line="240" w:before="240" w:after="120"/>
      <w:jc w:val="center"/>
    </w:pPr>
    <w:rPr>
      <w:rFonts w:ascii="TimesDL" w:hAnsi="TimesDL"/>
      <w:b/>
      <w:smallCaps/>
      <w:spacing w:val="-2"/>
      <w:sz w:val="24"/>
      <w:szCs w:val="20"/>
    </w:rPr>
  </w:style>
  <w:style w:type="paragraph" w:styleId="BodyTextIndent3">
    <w:name w:val="Body Text Indent 3"/>
    <w:basedOn w:val="Normal"/>
    <w:qFormat/>
    <w:pPr>
      <w:spacing w:lineRule="auto" w:line="240" w:before="0" w:after="120"/>
      <w:ind w:left="283"/>
    </w:pPr>
    <w:rPr>
      <w:sz w:val="16"/>
      <w:szCs w:val="16"/>
    </w:rPr>
  </w:style>
  <w:style w:type="paragraph" w:styleId="Header">
    <w:name w:val="header"/>
    <w:basedOn w:val="Normal"/>
    <w:pPr>
      <w:tabs>
        <w:tab w:val="clear" w:pos="708"/>
        <w:tab w:val="center" w:pos="4153" w:leader="none"/>
        <w:tab w:val="right" w:pos="8306" w:leader="none"/>
      </w:tabs>
      <w:spacing w:lineRule="auto" w:line="240" w:before="120" w:after="120"/>
    </w:pPr>
    <w:rPr>
      <w:sz w:val="28"/>
      <w:szCs w:val="28"/>
    </w:rPr>
  </w:style>
  <w:style w:type="paragraph" w:styleId="BlockText">
    <w:name w:val="Block Text"/>
    <w:basedOn w:val="Normal"/>
    <w:qFormat/>
    <w:pPr>
      <w:spacing w:lineRule="auto" w:line="240" w:before="0" w:after="120"/>
      <w:ind w:left="1440" w:right="1440"/>
    </w:pPr>
    <w:rPr>
      <w:sz w:val="24"/>
      <w:szCs w:val="20"/>
    </w:rPr>
  </w:style>
  <w:style w:type="paragraph" w:styleId="FootnoteText">
    <w:name w:val="footnote text"/>
    <w:basedOn w:val="Normal"/>
    <w:pPr>
      <w:spacing w:lineRule="auto" w:line="240" w:before="0" w:after="60"/>
    </w:pPr>
    <w:rPr>
      <w:sz w:val="20"/>
      <w:szCs w:val="20"/>
    </w:rPr>
  </w:style>
  <w:style w:type="paragraph" w:styleId="BodyText3">
    <w:name w:val="Body Text 3"/>
    <w:basedOn w:val="Normal"/>
    <w:qFormat/>
    <w:pPr>
      <w:keepNext w:val="true"/>
      <w:keepLines/>
      <w:widowControl w:val="false"/>
      <w:suppressLineNumbers/>
      <w:tabs>
        <w:tab w:val="clear" w:pos="708"/>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pacing w:lineRule="auto" w:line="240" w:before="148" w:after="112"/>
    </w:pPr>
    <w:rPr>
      <w:sz w:val="16"/>
      <w:szCs w:val="16"/>
    </w:rPr>
  </w:style>
  <w:style w:type="paragraph" w:styleId="PlainText">
    <w:name w:val="Plain Text"/>
    <w:basedOn w:val="Normal"/>
    <w:qFormat/>
    <w:pPr>
      <w:spacing w:lineRule="auto" w:line="240"/>
    </w:pPr>
    <w:rPr>
      <w:rFonts w:ascii="Courier New" w:hAnsi="Courier New"/>
      <w:sz w:val="20"/>
      <w:szCs w:val="20"/>
    </w:rPr>
  </w:style>
  <w:style w:type="paragraph" w:styleId="ConsNormal" w:customStyle="1">
    <w:name w:val="ConsNormal"/>
    <w:qFormat/>
    <w:pPr>
      <w:widowControl w:val="false"/>
      <w:suppressAutoHyphens w:val="true"/>
      <w:bidi w:val="0"/>
      <w:spacing w:lineRule="auto" w:line="276" w:before="0" w:after="200"/>
      <w:ind w:firstLine="720" w:right="19772"/>
      <w:jc w:val="left"/>
      <w:textAlignment w:val="baseline"/>
    </w:pPr>
    <w:rPr>
      <w:rFonts w:ascii="Arial" w:hAnsi="Arial" w:eastAsia="Calibri" w:cs="Arial"/>
      <w:color w:val="auto"/>
      <w:kern w:val="0"/>
      <w:sz w:val="22"/>
      <w:szCs w:val="22"/>
      <w:lang w:val="ru-RU" w:eastAsia="ru-RU" w:bidi="ar-SA"/>
    </w:rPr>
  </w:style>
  <w:style w:type="paragraph" w:styleId="NormalWeb">
    <w:name w:val="Normal (Web)"/>
    <w:basedOn w:val="Normal"/>
    <w:qFormat/>
    <w:pPr>
      <w:spacing w:lineRule="auto" w:line="240" w:before="100" w:after="100"/>
    </w:pPr>
    <w:rPr>
      <w:sz w:val="24"/>
      <w:szCs w:val="24"/>
    </w:rPr>
  </w:style>
  <w:style w:type="paragraph" w:styleId="ConsNonformat" w:customStyle="1">
    <w:name w:val="ConsNonformat"/>
    <w:qFormat/>
    <w:pPr>
      <w:widowControl w:val="false"/>
      <w:suppressAutoHyphens w:val="true"/>
      <w:bidi w:val="0"/>
      <w:spacing w:lineRule="auto" w:line="276" w:before="0" w:after="200"/>
      <w:ind w:right="19772"/>
      <w:jc w:val="left"/>
      <w:textAlignment w:val="baseline"/>
    </w:pPr>
    <w:rPr>
      <w:rFonts w:ascii="Courier New" w:hAnsi="Courier New" w:eastAsia="Calibri" w:cs="Courier New"/>
      <w:color w:val="auto"/>
      <w:kern w:val="0"/>
      <w:sz w:val="22"/>
      <w:szCs w:val="22"/>
      <w:lang w:val="ru-RU" w:eastAsia="ru-RU" w:bidi="ar-SA"/>
    </w:rPr>
  </w:style>
  <w:style w:type="paragraph" w:styleId="HTMLAddress">
    <w:name w:val="HTML Address"/>
    <w:basedOn w:val="Normal"/>
    <w:qFormat/>
    <w:pPr>
      <w:spacing w:lineRule="auto" w:line="240" w:before="0" w:after="60"/>
    </w:pPr>
    <w:rPr>
      <w:i/>
      <w:iCs/>
      <w:sz w:val="28"/>
      <w:szCs w:val="28"/>
    </w:rPr>
  </w:style>
  <w:style w:type="paragraph" w:styleId="EnvelopeAddress">
    <w:name w:val="envelope address"/>
    <w:basedOn w:val="Normal"/>
    <w:qFormat/>
    <w:pPr>
      <w:spacing w:lineRule="auto" w:line="240" w:before="0" w:after="60"/>
      <w:ind w:left="2880"/>
    </w:pPr>
    <w:rPr>
      <w:rFonts w:ascii="Arial" w:hAnsi="Arial" w:cs="Arial"/>
      <w:sz w:val="24"/>
      <w:szCs w:val="24"/>
    </w:rPr>
  </w:style>
  <w:style w:type="paragraph" w:styleId="NoteHeading">
    <w:name w:val="Note Heading"/>
    <w:basedOn w:val="Normal"/>
    <w:next w:val="Normal"/>
    <w:qFormat/>
    <w:pPr>
      <w:spacing w:lineRule="auto" w:line="240" w:before="0" w:after="60"/>
    </w:pPr>
    <w:rPr>
      <w:sz w:val="28"/>
      <w:szCs w:val="28"/>
    </w:rPr>
  </w:style>
  <w:style w:type="paragraph" w:styleId="BodyTextFirstIndent">
    <w:name w:val="Body Text First Indent"/>
    <w:basedOn w:val="BodyText"/>
    <w:pPr>
      <w:spacing w:lineRule="auto" w:line="240"/>
      <w:ind w:firstLine="210"/>
    </w:pPr>
    <w:rPr>
      <w:szCs w:val="28"/>
    </w:rPr>
  </w:style>
  <w:style w:type="paragraph" w:styleId="BodyTextFirstIndent2">
    <w:name w:val="Body Text First Indent 2"/>
    <w:basedOn w:val="BodyTextIndent"/>
    <w:qFormat/>
    <w:pPr>
      <w:spacing w:before="0" w:after="120"/>
      <w:ind w:firstLine="210" w:left="283"/>
    </w:pPr>
    <w:rPr>
      <w:sz w:val="24"/>
      <w:szCs w:val="24"/>
    </w:rPr>
  </w:style>
  <w:style w:type="paragraph" w:styleId="EnvelopeReturn">
    <w:name w:val="envelope return"/>
    <w:basedOn w:val="Normal"/>
    <w:qFormat/>
    <w:pPr>
      <w:spacing w:lineRule="auto" w:line="240" w:before="0" w:after="60"/>
    </w:pPr>
    <w:rPr>
      <w:rFonts w:ascii="Arial" w:hAnsi="Arial" w:cs="Arial"/>
      <w:sz w:val="20"/>
      <w:szCs w:val="20"/>
    </w:rPr>
  </w:style>
  <w:style w:type="paragraph" w:styleId="NormalIndent">
    <w:name w:val="Normal Indent"/>
    <w:basedOn w:val="Normal"/>
    <w:qFormat/>
    <w:pPr>
      <w:spacing w:lineRule="auto" w:line="240" w:before="0" w:after="60"/>
      <w:ind w:left="708"/>
    </w:pPr>
    <w:rPr>
      <w:sz w:val="24"/>
      <w:szCs w:val="24"/>
    </w:rPr>
  </w:style>
  <w:style w:type="paragraph" w:styleId="Signature">
    <w:name w:val="Signature"/>
    <w:basedOn w:val="Normal"/>
    <w:pPr>
      <w:spacing w:lineRule="auto" w:line="240" w:before="0" w:after="60"/>
      <w:ind w:left="4252"/>
    </w:pPr>
    <w:rPr>
      <w:sz w:val="28"/>
      <w:szCs w:val="28"/>
    </w:rPr>
  </w:style>
  <w:style w:type="paragraph" w:styleId="Salutation">
    <w:name w:val="Salutation"/>
    <w:basedOn w:val="Normal"/>
    <w:next w:val="Normal"/>
    <w:pPr>
      <w:spacing w:lineRule="auto" w:line="240" w:before="0" w:after="60"/>
    </w:pPr>
    <w:rPr>
      <w:sz w:val="28"/>
      <w:szCs w:val="28"/>
    </w:rPr>
  </w:style>
  <w:style w:type="paragraph" w:styleId="ListContinue">
    <w:name w:val="List Continue"/>
    <w:basedOn w:val="Normal"/>
    <w:pPr>
      <w:spacing w:lineRule="auto" w:line="240" w:before="0" w:after="120"/>
      <w:ind w:left="283"/>
    </w:pPr>
    <w:rPr>
      <w:sz w:val="24"/>
      <w:szCs w:val="24"/>
    </w:rPr>
  </w:style>
  <w:style w:type="paragraph" w:styleId="ListContinue2">
    <w:name w:val="List Continue 2"/>
    <w:basedOn w:val="Normal"/>
    <w:pPr>
      <w:spacing w:lineRule="auto" w:line="240" w:before="0" w:after="120"/>
      <w:ind w:left="566"/>
    </w:pPr>
    <w:rPr>
      <w:sz w:val="24"/>
      <w:szCs w:val="24"/>
    </w:rPr>
  </w:style>
  <w:style w:type="paragraph" w:styleId="ListContinue3">
    <w:name w:val="List Continue 3"/>
    <w:basedOn w:val="Normal"/>
    <w:pPr>
      <w:spacing w:lineRule="auto" w:line="240" w:before="0" w:after="120"/>
      <w:ind w:left="849"/>
    </w:pPr>
    <w:rPr>
      <w:sz w:val="24"/>
      <w:szCs w:val="24"/>
    </w:rPr>
  </w:style>
  <w:style w:type="paragraph" w:styleId="ListContinue4">
    <w:name w:val="List Continue 4"/>
    <w:basedOn w:val="Normal"/>
    <w:pPr>
      <w:spacing w:lineRule="auto" w:line="240" w:before="0" w:after="120"/>
      <w:ind w:left="1132"/>
    </w:pPr>
    <w:rPr>
      <w:sz w:val="24"/>
      <w:szCs w:val="24"/>
    </w:rPr>
  </w:style>
  <w:style w:type="paragraph" w:styleId="ListContinue5">
    <w:name w:val="List Continue 5"/>
    <w:basedOn w:val="Normal"/>
    <w:pPr>
      <w:spacing w:lineRule="auto" w:line="240" w:before="0" w:after="120"/>
      <w:ind w:left="1415"/>
    </w:pPr>
    <w:rPr>
      <w:sz w:val="24"/>
      <w:szCs w:val="24"/>
    </w:rPr>
  </w:style>
  <w:style w:type="paragraph" w:styleId="Closing">
    <w:name w:val="Closing"/>
    <w:basedOn w:val="Normal"/>
    <w:pPr>
      <w:spacing w:lineRule="auto" w:line="240" w:before="0" w:after="60"/>
      <w:ind w:left="4252"/>
    </w:pPr>
    <w:rPr>
      <w:sz w:val="28"/>
      <w:szCs w:val="28"/>
    </w:rPr>
  </w:style>
  <w:style w:type="paragraph" w:styleId="List2">
    <w:name w:val="List 2"/>
    <w:basedOn w:val="Normal"/>
    <w:qFormat/>
    <w:pPr>
      <w:spacing w:lineRule="auto" w:line="240" w:before="0" w:after="60"/>
      <w:ind w:hanging="283" w:left="566"/>
    </w:pPr>
    <w:rPr>
      <w:sz w:val="24"/>
      <w:szCs w:val="24"/>
    </w:rPr>
  </w:style>
  <w:style w:type="paragraph" w:styleId="List3">
    <w:name w:val="List 3"/>
    <w:basedOn w:val="Normal"/>
    <w:qFormat/>
    <w:pPr>
      <w:spacing w:lineRule="auto" w:line="240" w:before="0" w:after="60"/>
      <w:ind w:hanging="283" w:left="849"/>
    </w:pPr>
    <w:rPr>
      <w:sz w:val="24"/>
      <w:szCs w:val="24"/>
    </w:rPr>
  </w:style>
  <w:style w:type="paragraph" w:styleId="List4">
    <w:name w:val="List 4"/>
    <w:basedOn w:val="Normal"/>
    <w:qFormat/>
    <w:pPr>
      <w:spacing w:lineRule="auto" w:line="240" w:before="0" w:after="60"/>
      <w:ind w:hanging="283" w:left="1132"/>
    </w:pPr>
    <w:rPr>
      <w:sz w:val="24"/>
      <w:szCs w:val="24"/>
    </w:rPr>
  </w:style>
  <w:style w:type="paragraph" w:styleId="List5">
    <w:name w:val="List 5"/>
    <w:basedOn w:val="Normal"/>
    <w:qFormat/>
    <w:pPr>
      <w:spacing w:lineRule="auto" w:line="240" w:before="0" w:after="60"/>
      <w:ind w:hanging="283" w:left="1415"/>
    </w:pPr>
    <w:rPr>
      <w:sz w:val="24"/>
      <w:szCs w:val="24"/>
    </w:rPr>
  </w:style>
  <w:style w:type="paragraph" w:styleId="HTMLPreformatted">
    <w:name w:val="HTML Preformatted"/>
    <w:basedOn w:val="Normal"/>
    <w:qFormat/>
    <w:pPr>
      <w:spacing w:lineRule="auto" w:line="240" w:before="0" w:after="60"/>
    </w:pPr>
    <w:rPr>
      <w:rFonts w:ascii="Courier New" w:hAnsi="Courier New"/>
      <w:sz w:val="20"/>
      <w:szCs w:val="20"/>
    </w:rPr>
  </w:style>
  <w:style w:type="paragraph" w:styleId="MessageHeader">
    <w:name w:val="Message Header"/>
    <w:basedOn w:val="Normal"/>
    <w:qFormat/>
    <w:pPr>
      <w:pBdr>
        <w:top w:val="single" w:sz="6" w:space="1" w:color="000000"/>
        <w:left w:val="single" w:sz="6" w:space="1" w:color="000000"/>
        <w:bottom w:val="single" w:sz="6" w:space="1" w:color="000000"/>
        <w:right w:val="single" w:sz="6" w:space="1" w:color="000000"/>
      </w:pBdr>
      <w:spacing w:lineRule="auto" w:line="240" w:before="0" w:after="60"/>
      <w:ind w:hanging="1134" w:left="1134"/>
    </w:pPr>
    <w:rPr>
      <w:rFonts w:ascii="Cambria" w:hAnsi="Cambria"/>
      <w:sz w:val="24"/>
      <w:szCs w:val="24"/>
    </w:rPr>
  </w:style>
  <w:style w:type="paragraph" w:styleId="E-mailSignature">
    <w:name w:val="E-mail Signature"/>
    <w:basedOn w:val="Normal"/>
    <w:qFormat/>
    <w:pPr>
      <w:spacing w:lineRule="auto" w:line="240" w:before="0" w:after="60"/>
    </w:pPr>
    <w:rPr>
      <w:sz w:val="28"/>
      <w:szCs w:val="28"/>
    </w:rPr>
  </w:style>
  <w:style w:type="paragraph" w:styleId="TOC4">
    <w:name w:val="toc 4"/>
    <w:basedOn w:val="Normal"/>
    <w:next w:val="Normal"/>
    <w:autoRedefine/>
    <w:pPr>
      <w:spacing w:lineRule="auto" w:line="240"/>
      <w:ind w:left="480"/>
    </w:pPr>
    <w:rPr>
      <w:sz w:val="20"/>
      <w:szCs w:val="20"/>
    </w:rPr>
  </w:style>
  <w:style w:type="paragraph" w:styleId="TOC5">
    <w:name w:val="toc 5"/>
    <w:basedOn w:val="Normal"/>
    <w:next w:val="Normal"/>
    <w:autoRedefine/>
    <w:pPr>
      <w:spacing w:lineRule="auto" w:line="240"/>
      <w:ind w:left="720"/>
    </w:pPr>
    <w:rPr>
      <w:sz w:val="20"/>
      <w:szCs w:val="20"/>
    </w:rPr>
  </w:style>
  <w:style w:type="paragraph" w:styleId="TOC6">
    <w:name w:val="toc 6"/>
    <w:basedOn w:val="Normal"/>
    <w:next w:val="Normal"/>
    <w:autoRedefine/>
    <w:pPr>
      <w:spacing w:lineRule="auto" w:line="240"/>
      <w:ind w:left="960"/>
    </w:pPr>
    <w:rPr>
      <w:sz w:val="20"/>
      <w:szCs w:val="20"/>
    </w:rPr>
  </w:style>
  <w:style w:type="paragraph" w:styleId="TOC7">
    <w:name w:val="toc 7"/>
    <w:basedOn w:val="Normal"/>
    <w:next w:val="Normal"/>
    <w:autoRedefine/>
    <w:pPr>
      <w:spacing w:lineRule="auto" w:line="240"/>
      <w:ind w:left="1200"/>
    </w:pPr>
    <w:rPr>
      <w:sz w:val="20"/>
      <w:szCs w:val="20"/>
    </w:rPr>
  </w:style>
  <w:style w:type="paragraph" w:styleId="TOC8">
    <w:name w:val="toc 8"/>
    <w:basedOn w:val="Normal"/>
    <w:next w:val="Normal"/>
    <w:autoRedefine/>
    <w:pPr>
      <w:spacing w:lineRule="auto" w:line="240"/>
      <w:ind w:left="1440"/>
    </w:pPr>
    <w:rPr>
      <w:sz w:val="20"/>
      <w:szCs w:val="20"/>
    </w:rPr>
  </w:style>
  <w:style w:type="paragraph" w:styleId="TOC9">
    <w:name w:val="toc 9"/>
    <w:basedOn w:val="Normal"/>
    <w:next w:val="Normal"/>
    <w:autoRedefine/>
    <w:pPr>
      <w:spacing w:lineRule="auto" w:line="240"/>
      <w:ind w:left="1680"/>
    </w:pPr>
    <w:rPr>
      <w:sz w:val="20"/>
      <w:szCs w:val="20"/>
    </w:rPr>
  </w:style>
  <w:style w:type="paragraph" w:styleId="15" w:customStyle="1">
    <w:name w:val="Стиль1"/>
    <w:basedOn w:val="Normal"/>
    <w:qFormat/>
    <w:pPr>
      <w:keepNext w:val="true"/>
      <w:keepLines/>
      <w:widowControl w:val="false"/>
      <w:suppressLineNumbers/>
      <w:spacing w:before="0" w:after="60"/>
    </w:pPr>
    <w:rPr>
      <w:b/>
      <w:szCs w:val="24"/>
    </w:rPr>
  </w:style>
  <w:style w:type="paragraph" w:styleId="2-1" w:customStyle="1">
    <w:name w:val="содержание2-1"/>
    <w:basedOn w:val="Heading3"/>
    <w:next w:val="Normal"/>
    <w:qFormat/>
    <w:pPr>
      <w:numPr>
        <w:ilvl w:val="0"/>
        <w:numId w:val="0"/>
      </w:numPr>
      <w:tabs>
        <w:tab w:val="clear" w:pos="708"/>
        <w:tab w:val="left" w:pos="1852" w:leader="none"/>
        <w:tab w:val="left" w:pos="2418" w:leader="none"/>
      </w:tabs>
      <w:spacing w:before="240" w:after="60"/>
      <w:ind w:hanging="360" w:left="926"/>
    </w:pPr>
    <w:rPr>
      <w:rFonts w:ascii="Arial" w:hAnsi="Arial"/>
      <w:bCs w:val="false"/>
      <w:sz w:val="24"/>
      <w:szCs w:val="20"/>
    </w:rPr>
  </w:style>
  <w:style w:type="paragraph" w:styleId="212" w:customStyle="1">
    <w:name w:val="Заголовок 2.1"/>
    <w:basedOn w:val="Heading1"/>
    <w:qFormat/>
    <w:pPr>
      <w:keepLines/>
      <w:widowControl w:val="false"/>
      <w:numPr>
        <w:ilvl w:val="0"/>
        <w:numId w:val="0"/>
      </w:numPr>
      <w:suppressLineNumbers/>
      <w:jc w:val="center"/>
    </w:pPr>
    <w:rPr>
      <w:bCs w:val="false"/>
      <w:kern w:val="2"/>
      <w:sz w:val="36"/>
    </w:rPr>
  </w:style>
  <w:style w:type="paragraph" w:styleId="25" w:customStyle="1">
    <w:name w:val="Стиль2"/>
    <w:basedOn w:val="ListNumber2"/>
    <w:qFormat/>
    <w:pPr>
      <w:keepNext w:val="true"/>
      <w:keepLines/>
      <w:widowControl w:val="false"/>
      <w:suppressLineNumbers/>
      <w:tabs>
        <w:tab w:val="clear" w:pos="643"/>
        <w:tab w:val="clear" w:pos="1209"/>
        <w:tab w:val="left" w:pos="1152" w:leader="none"/>
        <w:tab w:val="left" w:pos="1219" w:leader="none"/>
      </w:tabs>
      <w:ind w:hanging="576" w:left="576"/>
    </w:pPr>
    <w:rPr>
      <w:b/>
    </w:rPr>
  </w:style>
  <w:style w:type="paragraph" w:styleId="37" w:customStyle="1">
    <w:name w:val="Стиль3 Знак"/>
    <w:basedOn w:val="BodyTextIndent2"/>
    <w:qFormat/>
    <w:pPr>
      <w:widowControl w:val="false"/>
      <w:numPr>
        <w:ilvl w:val="0"/>
        <w:numId w:val="16"/>
      </w:numPr>
      <w:tabs>
        <w:tab w:val="clear" w:pos="708"/>
        <w:tab w:val="left" w:pos="227" w:leader="none"/>
      </w:tabs>
      <w:spacing w:lineRule="auto" w:line="240" w:before="0" w:after="0"/>
    </w:pPr>
    <w:rPr>
      <w:sz w:val="24"/>
      <w:szCs w:val="20"/>
    </w:rPr>
  </w:style>
  <w:style w:type="paragraph" w:styleId="2-11" w:customStyle="1">
    <w:name w:val="содержание2-11"/>
    <w:basedOn w:val="Normal"/>
    <w:qFormat/>
    <w:pPr>
      <w:spacing w:lineRule="auto" w:line="240" w:before="0" w:after="60"/>
    </w:pPr>
    <w:rPr>
      <w:sz w:val="24"/>
      <w:szCs w:val="24"/>
    </w:rPr>
  </w:style>
  <w:style w:type="paragraph" w:styleId="41" w:customStyle="1">
    <w:name w:val="Стиль4"/>
    <w:basedOn w:val="Heading2"/>
    <w:next w:val="Normal"/>
    <w:qFormat/>
    <w:pPr>
      <w:keepLines/>
      <w:widowControl w:val="false"/>
      <w:numPr>
        <w:ilvl w:val="0"/>
        <w:numId w:val="0"/>
      </w:numPr>
      <w:suppressLineNumbers/>
      <w:ind w:firstLine="567"/>
    </w:pPr>
    <w:rPr/>
  </w:style>
  <w:style w:type="paragraph" w:styleId="Style44" w:customStyle="1">
    <w:name w:val="Таблица заголовок"/>
    <w:basedOn w:val="Normal"/>
    <w:qFormat/>
    <w:pPr>
      <w:spacing w:lineRule="auto" w:line="360" w:before="120" w:after="120"/>
      <w:jc w:val="right"/>
    </w:pPr>
    <w:rPr>
      <w:b/>
    </w:rPr>
  </w:style>
  <w:style w:type="paragraph" w:styleId="Style45" w:customStyle="1">
    <w:name w:val="текст таблицы"/>
    <w:basedOn w:val="Normal"/>
    <w:qFormat/>
    <w:pPr>
      <w:spacing w:lineRule="auto" w:line="240" w:before="120" w:after="200"/>
      <w:ind w:right="-102"/>
    </w:pPr>
    <w:rPr>
      <w:sz w:val="24"/>
      <w:szCs w:val="24"/>
    </w:rPr>
  </w:style>
  <w:style w:type="paragraph" w:styleId="38" w:customStyle="1">
    <w:name w:val="Стиль3"/>
    <w:basedOn w:val="BodyTextIndent2"/>
    <w:qFormat/>
    <w:pPr>
      <w:widowControl w:val="false"/>
      <w:tabs>
        <w:tab w:val="clear" w:pos="708"/>
        <w:tab w:val="left" w:pos="2387" w:leader="none"/>
      </w:tabs>
      <w:spacing w:lineRule="auto" w:line="240" w:before="0" w:after="0"/>
      <w:ind w:left="1080"/>
    </w:pPr>
    <w:rPr>
      <w:sz w:val="24"/>
      <w:szCs w:val="20"/>
    </w:rPr>
  </w:style>
  <w:style w:type="paragraph" w:styleId="Style46" w:customStyle="1">
    <w:name w:val="Мой"/>
    <w:basedOn w:val="Normal"/>
    <w:qFormat/>
    <w:pPr>
      <w:spacing w:lineRule="auto" w:line="240"/>
      <w:ind w:firstLine="708"/>
    </w:pPr>
    <w:rPr>
      <w:color w:val="000000"/>
      <w:sz w:val="24"/>
      <w:szCs w:val="20"/>
    </w:rPr>
  </w:style>
  <w:style w:type="paragraph" w:styleId="ConsTitle" w:customStyle="1">
    <w:name w:val="ConsTitle"/>
    <w:qFormat/>
    <w:pPr>
      <w:widowControl w:val="false"/>
      <w:suppressAutoHyphens w:val="true"/>
      <w:bidi w:val="0"/>
      <w:spacing w:lineRule="auto" w:line="276" w:before="0" w:after="200"/>
      <w:ind w:right="19772"/>
      <w:jc w:val="left"/>
      <w:textAlignment w:val="baseline"/>
    </w:pPr>
    <w:rPr>
      <w:rFonts w:ascii="Arial" w:hAnsi="Arial" w:eastAsia="Calibri" w:cs="Arial"/>
      <w:b/>
      <w:bCs/>
      <w:color w:val="auto"/>
      <w:kern w:val="0"/>
      <w:sz w:val="16"/>
      <w:szCs w:val="16"/>
      <w:lang w:val="ru-RU" w:eastAsia="ru-RU" w:bidi="ar-SA"/>
    </w:rPr>
  </w:style>
  <w:style w:type="paragraph" w:styleId="16" w:customStyle="1">
    <w:name w:val="Обычный1"/>
    <w:qFormat/>
    <w:pPr>
      <w:widowControl/>
      <w:suppressAutoHyphens w:val="true"/>
      <w:bidi w:val="0"/>
      <w:spacing w:lineRule="auto" w:line="276" w:before="0" w:after="200"/>
      <w:jc w:val="left"/>
      <w:textAlignment w:val="baseline"/>
    </w:pPr>
    <w:rPr>
      <w:rFonts w:ascii="Calibri" w:hAnsi="Calibri" w:eastAsia="Calibri" w:cs="Times New Roman"/>
      <w:color w:val="auto"/>
      <w:kern w:val="0"/>
      <w:sz w:val="22"/>
      <w:szCs w:val="22"/>
      <w:lang w:val="ru-RU" w:eastAsia="ru-RU" w:bidi="ar-SA"/>
    </w:rPr>
  </w:style>
  <w:style w:type="paragraph" w:styleId="111" w:customStyle="1">
    <w:name w:val="11"/>
    <w:basedOn w:val="Normal"/>
    <w:qFormat/>
    <w:pPr>
      <w:keepNext w:val="true"/>
      <w:spacing w:lineRule="auto" w:line="240"/>
      <w:jc w:val="center"/>
    </w:pPr>
    <w:rPr>
      <w:sz w:val="24"/>
      <w:szCs w:val="24"/>
    </w:rPr>
  </w:style>
  <w:style w:type="paragraph" w:styleId="xl80" w:customStyle="1">
    <w:name w:val="xl80"/>
    <w:basedOn w:val="Normal"/>
    <w:qFormat/>
    <w:pPr>
      <w:spacing w:lineRule="auto" w:line="240" w:before="100" w:after="100"/>
      <w:jc w:val="right"/>
    </w:pPr>
    <w:rPr>
      <w:rFonts w:ascii="Garamond" w:hAnsi="Garamond"/>
      <w:sz w:val="24"/>
      <w:szCs w:val="24"/>
    </w:rPr>
  </w:style>
  <w:style w:type="paragraph" w:styleId="112" w:customStyle="1">
    <w:name w:val="заголовок 11"/>
    <w:basedOn w:val="Normal"/>
    <w:next w:val="Normal"/>
    <w:qFormat/>
    <w:pPr>
      <w:keepNext w:val="true"/>
      <w:spacing w:lineRule="auto" w:line="240"/>
      <w:jc w:val="center"/>
    </w:pPr>
    <w:rPr>
      <w:sz w:val="24"/>
      <w:szCs w:val="20"/>
    </w:rPr>
  </w:style>
  <w:style w:type="paragraph" w:styleId="xl28" w:customStyle="1">
    <w:name w:val="xl28"/>
    <w:basedOn w:val="Normal"/>
    <w:qFormat/>
    <w:pPr>
      <w:spacing w:lineRule="auto" w:line="240" w:before="100" w:after="100"/>
      <w:jc w:val="center"/>
    </w:pPr>
    <w:rPr>
      <w:rFonts w:ascii="Arial Narrow" w:hAnsi="Arial Narrow"/>
      <w:b/>
      <w:bCs/>
      <w:sz w:val="24"/>
      <w:szCs w:val="24"/>
    </w:rPr>
  </w:style>
  <w:style w:type="paragraph" w:styleId="312" w:customStyle="1">
    <w:name w:val="Заголовок 31"/>
    <w:basedOn w:val="Normal"/>
    <w:next w:val="Normal"/>
    <w:qFormat/>
    <w:pPr>
      <w:keepNext w:val="true"/>
      <w:spacing w:lineRule="auto" w:line="240"/>
      <w:outlineLvl w:val="2"/>
    </w:pPr>
    <w:rPr>
      <w:sz w:val="24"/>
      <w:szCs w:val="20"/>
    </w:rPr>
  </w:style>
  <w:style w:type="paragraph" w:styleId="DocumentMap">
    <w:name w:val="Document Map"/>
    <w:basedOn w:val="Normal"/>
    <w:qFormat/>
    <w:pPr>
      <w:shd w:val="clear" w:color="auto" w:fill="000080"/>
      <w:spacing w:lineRule="auto" w:line="240" w:before="0" w:after="60"/>
    </w:pPr>
    <w:rPr>
      <w:sz w:val="2"/>
      <w:szCs w:val="20"/>
    </w:rPr>
  </w:style>
  <w:style w:type="paragraph" w:styleId="13pt" w:customStyle="1">
    <w:name w:val="Обычный + 13 pt"/>
    <w:basedOn w:val="Normal"/>
    <w:qFormat/>
    <w:pPr>
      <w:widowControl w:val="false"/>
      <w:shd w:val="clear" w:color="auto" w:fill="FFFFFF"/>
      <w:spacing w:lineRule="auto" w:line="240"/>
      <w:ind w:left="34"/>
      <w:jc w:val="center"/>
    </w:pPr>
    <w:rPr>
      <w:b/>
      <w:color w:val="000000"/>
      <w:spacing w:val="14"/>
      <w:kern w:val="2"/>
      <w:sz w:val="26"/>
      <w:szCs w:val="26"/>
    </w:rPr>
  </w:style>
  <w:style w:type="paragraph" w:styleId="13pt1" w:customStyle="1">
    <w:name w:val="Основной текст + 13 pt"/>
    <w:basedOn w:val="BodyText"/>
    <w:qFormat/>
    <w:pPr>
      <w:widowControl w:val="false"/>
      <w:shd w:val="clear" w:color="auto" w:fill="FFFFFF"/>
      <w:spacing w:lineRule="auto" w:line="240" w:before="0" w:after="0"/>
      <w:ind w:right="312"/>
      <w:jc w:val="center"/>
    </w:pPr>
    <w:rPr>
      <w:b/>
      <w:sz w:val="26"/>
      <w:szCs w:val="26"/>
    </w:rPr>
  </w:style>
  <w:style w:type="paragraph" w:styleId="ListBull1" w:customStyle="1">
    <w:name w:val="ListBull1"/>
    <w:basedOn w:val="Normal"/>
    <w:qFormat/>
    <w:pPr>
      <w:tabs>
        <w:tab w:val="clear" w:pos="708"/>
        <w:tab w:val="left" w:pos="1984" w:leader="none"/>
        <w:tab w:val="left" w:pos="3969" w:leader="none"/>
      </w:tabs>
      <w:spacing w:lineRule="auto" w:line="240" w:before="60" w:after="40"/>
      <w:ind w:hanging="425" w:left="1984"/>
    </w:pPr>
    <w:rPr>
      <w:sz w:val="24"/>
      <w:szCs w:val="24"/>
    </w:rPr>
  </w:style>
  <w:style w:type="paragraph" w:styleId="Style47" w:customStyle="1">
    <w:name w:val="Табличный список"/>
    <w:basedOn w:val="Normal"/>
    <w:qFormat/>
    <w:pPr>
      <w:numPr>
        <w:ilvl w:val="0"/>
        <w:numId w:val="17"/>
      </w:numPr>
    </w:pPr>
    <w:rPr>
      <w:sz w:val="18"/>
      <w:szCs w:val="24"/>
    </w:rPr>
  </w:style>
  <w:style w:type="paragraph" w:styleId="ConsPlusNonformat" w:customStyle="1">
    <w:name w:val="ConsPlusNonformat"/>
    <w:qFormat/>
    <w:pPr>
      <w:widowControl w:val="false"/>
      <w:suppressAutoHyphens w:val="true"/>
      <w:bidi w:val="0"/>
      <w:spacing w:lineRule="auto" w:line="276" w:before="0" w:after="200"/>
      <w:jc w:val="left"/>
      <w:textAlignment w:val="baseline"/>
    </w:pPr>
    <w:rPr>
      <w:rFonts w:ascii="Courier New" w:hAnsi="Courier New" w:eastAsia="Calibri" w:cs="Courier New"/>
      <w:color w:val="auto"/>
      <w:kern w:val="0"/>
      <w:sz w:val="22"/>
      <w:szCs w:val="22"/>
      <w:lang w:val="ru-RU" w:eastAsia="ru-RU" w:bidi="ar-SA"/>
    </w:rPr>
  </w:style>
  <w:style w:type="paragraph" w:styleId="Style48" w:customStyle="1">
    <w:name w:val="Стиль"/>
    <w:qFormat/>
    <w:pPr>
      <w:widowControl w:val="false"/>
      <w:suppressAutoHyphens w:val="true"/>
      <w:bidi w:val="0"/>
      <w:spacing w:lineRule="auto" w:line="276" w:before="0" w:after="200"/>
      <w:jc w:val="left"/>
      <w:textAlignment w:val="baseline"/>
    </w:pPr>
    <w:rPr>
      <w:rFonts w:ascii="Arial" w:hAnsi="Arial" w:eastAsia="Calibri" w:cs="Arial"/>
      <w:color w:val="auto"/>
      <w:kern w:val="0"/>
      <w:sz w:val="24"/>
      <w:szCs w:val="24"/>
      <w:lang w:val="ru-RU" w:eastAsia="ru-RU" w:bidi="ar-SA"/>
    </w:rPr>
  </w:style>
  <w:style w:type="paragraph" w:styleId="Style49" w:customStyle="1">
    <w:name w:val="Пункт"/>
    <w:basedOn w:val="Normal"/>
    <w:qFormat/>
    <w:pPr>
      <w:tabs>
        <w:tab w:val="clear" w:pos="708"/>
        <w:tab w:val="left" w:pos="3384" w:leader="none"/>
      </w:tabs>
      <w:spacing w:lineRule="auto" w:line="240"/>
      <w:ind w:hanging="504" w:left="1404"/>
    </w:pPr>
    <w:rPr>
      <w:sz w:val="24"/>
    </w:rPr>
  </w:style>
  <w:style w:type="paragraph" w:styleId="ListParagraph">
    <w:name w:val="List Paragraph"/>
    <w:basedOn w:val="Normal"/>
    <w:link w:val="Style30"/>
    <w:uiPriority w:val="34"/>
    <w:qFormat/>
    <w:pPr>
      <w:spacing w:lineRule="auto" w:line="240" w:before="0" w:after="0"/>
      <w:ind w:left="720"/>
      <w:jc w:val="both"/>
    </w:pPr>
    <w:rPr>
      <w:rFonts w:ascii="Times New Roman" w:hAnsi="Times New Roman"/>
    </w:rPr>
  </w:style>
  <w:style w:type="paragraph" w:styleId="NameoftheContract" w:customStyle="1">
    <w:name w:val="Name of the Contract"/>
    <w:basedOn w:val="BodyText1"/>
    <w:qFormat/>
    <w:pPr>
      <w:jc w:val="center"/>
    </w:pPr>
    <w:rPr>
      <w:rFonts w:ascii="Times New Roman" w:hAnsi="Times New Roman"/>
      <w:b/>
      <w:caps/>
      <w:lang w:val="ru-RU"/>
    </w:rPr>
  </w:style>
  <w:style w:type="paragraph" w:styleId="LBSchedule1-Alt" w:customStyle="1">
    <w:name w:val="LB Schedule 1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en-GB" w:eastAsia="en-US" w:bidi="ar-SA"/>
    </w:rPr>
  </w:style>
  <w:style w:type="paragraph" w:styleId="LBSchedule2-Alt" w:customStyle="1">
    <w:name w:val="LB Schedule 2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chedule3-Alt" w:customStyle="1">
    <w:name w:val="LB Schedule 3 - Alt"/>
    <w:qFormat/>
    <w:pPr>
      <w:widowControl/>
      <w:tabs>
        <w:tab w:val="clear" w:pos="708"/>
        <w:tab w:val="left" w:pos="144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chedule4-Alt" w:customStyle="1">
    <w:name w:val="LB Schedule 4 - Alt"/>
    <w:qFormat/>
    <w:pPr>
      <w:widowControl/>
      <w:tabs>
        <w:tab w:val="clear" w:pos="708"/>
        <w:tab w:val="left" w:pos="2160" w:leader="none"/>
      </w:tabs>
      <w:suppressAutoHyphens w:val="true"/>
      <w:bidi w:val="0"/>
      <w:spacing w:before="120" w:after="120"/>
      <w:jc w:val="left"/>
      <w:textAlignment w:val="baseline"/>
    </w:pPr>
    <w:rPr>
      <w:rFonts w:ascii="Times New Roman" w:hAnsi="Times New Roman" w:eastAsia="Calibri" w:cs="Times New Roman"/>
      <w:color w:val="auto"/>
      <w:kern w:val="0"/>
      <w:sz w:val="22"/>
      <w:szCs w:val="22"/>
      <w:lang w:val="en-GB" w:eastAsia="en-US" w:bidi="ar-SA"/>
    </w:rPr>
  </w:style>
  <w:style w:type="paragraph" w:styleId="LBSchedule5-Alt" w:customStyle="1">
    <w:name w:val="LB Schedule 5 - Alt"/>
    <w:qFormat/>
    <w:pPr>
      <w:widowControl/>
      <w:tabs>
        <w:tab w:val="clear" w:pos="708"/>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1" w:customStyle="1">
    <w:name w:val="LB Heading 1"/>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ru-RU" w:eastAsia="en-US" w:bidi="ar-SA"/>
    </w:rPr>
  </w:style>
  <w:style w:type="paragraph" w:styleId="LBHeading2" w:customStyle="1">
    <w:name w:val="LB Heading 2"/>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3" w:customStyle="1">
    <w:name w:val="LB Heading 3"/>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3-111" w:customStyle="1">
    <w:name w:val="LB Heading 3 - 1.1.1"/>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Heading4" w:customStyle="1">
    <w:name w:val="LB Heading 4"/>
    <w:qFormat/>
    <w:pPr>
      <w:widowControl/>
      <w:tabs>
        <w:tab w:val="clear" w:pos="708"/>
        <w:tab w:val="left" w:pos="216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5" w:customStyle="1">
    <w:name w:val="LB Heading 5"/>
    <w:qFormat/>
    <w:pPr>
      <w:widowControl/>
      <w:numPr>
        <w:ilvl w:val="0"/>
        <w:numId w:val="32"/>
      </w:numPr>
      <w:tabs>
        <w:tab w:val="clear" w:pos="708"/>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1-Alt" w:customStyle="1">
    <w:name w:val="LB Heading 1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b/>
      <w:caps/>
      <w:color w:val="auto"/>
      <w:kern w:val="0"/>
      <w:sz w:val="22"/>
      <w:szCs w:val="22"/>
      <w:lang w:val="en-GB" w:eastAsia="en-US" w:bidi="ar-SA"/>
    </w:rPr>
  </w:style>
  <w:style w:type="paragraph" w:styleId="LBHeading2-Alt" w:customStyle="1">
    <w:name w:val="LB Heading 2 -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3-Alt" w:customStyle="1">
    <w:name w:val="LB Heading 3 - Alt"/>
    <w:qFormat/>
    <w:pPr>
      <w:widowControl/>
      <w:tabs>
        <w:tab w:val="clear" w:pos="708"/>
        <w:tab w:val="left" w:pos="144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3-111Alt" w:customStyle="1">
    <w:name w:val="LB Heading 3 - 1.1.1 Alt"/>
    <w:qFormat/>
    <w:pPr>
      <w:widowControl/>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Heading4-Alt" w:customStyle="1">
    <w:name w:val="LB Heading 4 - Alt"/>
    <w:qFormat/>
    <w:pPr>
      <w:widowControl/>
      <w:tabs>
        <w:tab w:val="clear" w:pos="708"/>
        <w:tab w:val="left" w:pos="216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Heading5-Alt" w:customStyle="1">
    <w:name w:val="LB Heading 5 - Alt"/>
    <w:qFormat/>
    <w:pPr>
      <w:widowControl/>
      <w:numPr>
        <w:ilvl w:val="0"/>
        <w:numId w:val="33"/>
      </w:numPr>
      <w:tabs>
        <w:tab w:val="clear" w:pos="708"/>
        <w:tab w:val="left" w:pos="288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Parties-Alt" w:customStyle="1">
    <w:name w:val="Parties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Recitals-Alt" w:customStyle="1">
    <w:name w:val="Recitals - Alt"/>
    <w:qFormat/>
    <w:pPr>
      <w:widowControl/>
      <w:numPr>
        <w:ilvl w:val="0"/>
        <w:numId w:val="34"/>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chedule3-111Alt" w:customStyle="1">
    <w:name w:val="LB Schedule 3 - 1.1.1 Alt"/>
    <w:qFormat/>
    <w:pPr>
      <w:widowControl/>
      <w:numPr>
        <w:ilvl w:val="0"/>
        <w:numId w:val="35"/>
      </w:numPr>
      <w:tabs>
        <w:tab w:val="clear" w:pos="708"/>
        <w:tab w:val="left" w:pos="720" w:leader="none"/>
      </w:tabs>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Arabic1-Alt" w:customStyle="1">
    <w:name w:val="LB Arabic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2-Alt" w:customStyle="1">
    <w:name w:val="LB Arabic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3-Alt" w:customStyle="1">
    <w:name w:val="LB Arabic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4-Alt" w:customStyle="1">
    <w:name w:val="LB Arabic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5-Alt" w:customStyle="1">
    <w:name w:val="LB Arabic 5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Arabic6-Alt" w:customStyle="1">
    <w:name w:val="LB Arabic 6 - Alt"/>
    <w:qFormat/>
    <w:pPr>
      <w:widowControl/>
      <w:numPr>
        <w:ilvl w:val="0"/>
        <w:numId w:val="36"/>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1-Alt" w:customStyle="1">
    <w:name w:val="LB Roman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2-Alt" w:customStyle="1">
    <w:name w:val="LB Roman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3-Alt" w:customStyle="1">
    <w:name w:val="LB Roman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4-Alt" w:customStyle="1">
    <w:name w:val="LB Roman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Roman5-Alt" w:customStyle="1">
    <w:name w:val="LB Roman 5 - Alt"/>
    <w:qFormat/>
    <w:pPr>
      <w:widowControl/>
      <w:numPr>
        <w:ilvl w:val="0"/>
        <w:numId w:val="37"/>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BdyText2" w:customStyle="1">
    <w:name w:val="Bоdy Text 2"/>
    <w:qFormat/>
    <w:pPr>
      <w:widowControl/>
      <w:suppressAutoHyphens w:val="true"/>
      <w:bidi w:val="0"/>
      <w:spacing w:before="120" w:after="120"/>
      <w:ind w:left="720"/>
      <w:jc w:val="both"/>
      <w:textAlignment w:val="baseline"/>
    </w:pPr>
    <w:rPr>
      <w:rFonts w:ascii="Times New Roman" w:hAnsi="Times New Roman" w:eastAsia="MS Mincho" w:cs="Times New Roman"/>
      <w:color w:val="auto"/>
      <w:kern w:val="0"/>
      <w:sz w:val="22"/>
      <w:szCs w:val="20"/>
      <w:lang w:val="ru-RU" w:eastAsia="en-US" w:bidi="ar-SA"/>
    </w:rPr>
  </w:style>
  <w:style w:type="paragraph" w:styleId="BdyText3" w:customStyle="1">
    <w:name w:val="Bоdy Text 3"/>
    <w:basedOn w:val="BdyText2"/>
    <w:qFormat/>
    <w:pPr>
      <w:ind w:left="1440"/>
    </w:pPr>
    <w:rPr/>
  </w:style>
  <w:style w:type="paragraph" w:styleId="LBParties" w:customStyle="1">
    <w:name w:val="LB Parties"/>
    <w:basedOn w:val="Parties"/>
    <w:qFormat/>
    <w:pPr>
      <w:spacing w:lineRule="auto" w:line="240"/>
      <w:jc w:val="both"/>
    </w:pPr>
    <w:rPr>
      <w:lang w:val="ru-RU"/>
    </w:rPr>
  </w:style>
  <w:style w:type="paragraph" w:styleId="LBParties-Alt" w:customStyle="1">
    <w:name w:val="LB Parties - Alt"/>
    <w:basedOn w:val="Parties-Alt"/>
    <w:qFormat/>
    <w:pPr/>
    <w:rPr>
      <w:lang w:val="en-GB"/>
    </w:rPr>
  </w:style>
  <w:style w:type="paragraph" w:styleId="LBRecitals" w:customStyle="1">
    <w:name w:val="LB Recitals"/>
    <w:basedOn w:val="Recitals"/>
    <w:qFormat/>
    <w:pPr>
      <w:spacing w:lineRule="auto" w:line="240"/>
      <w:jc w:val="both"/>
    </w:pPr>
    <w:rPr>
      <w:lang w:val="ru-RU"/>
    </w:rPr>
  </w:style>
  <w:style w:type="paragraph" w:styleId="LBRecitals-Alt" w:customStyle="1">
    <w:name w:val="LB Recitals - Alt"/>
    <w:basedOn w:val="Recitals-Alt"/>
    <w:qFormat/>
    <w:pPr/>
    <w:rPr>
      <w:lang w:val="en-GB"/>
    </w:rPr>
  </w:style>
  <w:style w:type="paragraph" w:styleId="LBNameoftheContract" w:customStyle="1">
    <w:name w:val="LB Name of the Contract"/>
    <w:basedOn w:val="NameoftheContract"/>
    <w:qFormat/>
    <w:pPr/>
    <w:rPr/>
  </w:style>
  <w:style w:type="paragraph" w:styleId="LBNameoftheParty" w:customStyle="1">
    <w:name w:val="LB Name of the Party"/>
    <w:basedOn w:val="NameoftheParty"/>
    <w:qFormat/>
    <w:pPr/>
    <w:rPr>
      <w:rFonts w:ascii="Times New Roman" w:hAnsi="Times New Roman"/>
      <w:lang w:val="ru-RU"/>
    </w:rPr>
  </w:style>
  <w:style w:type="paragraph" w:styleId="LBNameofthePartyAND" w:customStyle="1">
    <w:name w:val="LB Name of the Party – AND"/>
    <w:basedOn w:val="NameoftheParty-AND"/>
    <w:qFormat/>
    <w:pPr/>
    <w:rPr>
      <w:rFonts w:ascii="Times New Roman" w:hAnsi="Times New Roman"/>
      <w:lang w:val="ru-RU"/>
    </w:rPr>
  </w:style>
  <w:style w:type="paragraph" w:styleId="LBBodyText1" w:customStyle="1">
    <w:name w:val="LB Body Text 1"/>
    <w:basedOn w:val="BodyText1"/>
    <w:qFormat/>
    <w:pPr>
      <w:jc w:val="both"/>
    </w:pPr>
    <w:rPr>
      <w:rFonts w:ascii="Times New Roman" w:hAnsi="Times New Roman"/>
      <w:lang w:val="ru-RU"/>
    </w:rPr>
  </w:style>
  <w:style w:type="paragraph" w:styleId="LBBodyText2" w:customStyle="1">
    <w:name w:val="LB Body Text 2"/>
    <w:basedOn w:val="BdyText2"/>
    <w:qFormat/>
    <w:pPr/>
    <w:rPr/>
  </w:style>
  <w:style w:type="paragraph" w:styleId="LBBodyText3" w:customStyle="1">
    <w:name w:val="LB Body Text 3"/>
    <w:basedOn w:val="BdyText3"/>
    <w:qFormat/>
    <w:pPr/>
    <w:rPr/>
  </w:style>
  <w:style w:type="paragraph" w:styleId="LBBodyText4" w:customStyle="1">
    <w:name w:val="LB Body Text 4"/>
    <w:basedOn w:val="BodyText4"/>
    <w:qFormat/>
    <w:pPr>
      <w:spacing w:lineRule="auto" w:line="240"/>
      <w:jc w:val="both"/>
    </w:pPr>
    <w:rPr>
      <w:lang w:val="ru-RU"/>
    </w:rPr>
  </w:style>
  <w:style w:type="paragraph" w:styleId="LBBodyText5" w:customStyle="1">
    <w:name w:val="LB Body Text 5"/>
    <w:basedOn w:val="BodyText5"/>
    <w:qFormat/>
    <w:pPr>
      <w:spacing w:lineRule="auto" w:line="240"/>
      <w:jc w:val="both"/>
    </w:pPr>
    <w:rPr>
      <w:lang w:val="ru-RU"/>
    </w:rPr>
  </w:style>
  <w:style w:type="paragraph" w:styleId="LBBodyText6" w:customStyle="1">
    <w:name w:val="LB Body Text 6"/>
    <w:basedOn w:val="BodyText6"/>
    <w:qFormat/>
    <w:pPr>
      <w:spacing w:lineRule="auto" w:line="240"/>
      <w:jc w:val="both"/>
    </w:pPr>
    <w:rPr>
      <w:lang w:val="ru-RU"/>
    </w:rPr>
  </w:style>
  <w:style w:type="paragraph" w:styleId="LBScheduleParties" w:customStyle="1">
    <w:name w:val="LB Schedule Parties"/>
    <w:qFormat/>
    <w:pPr>
      <w:widowControl/>
      <w:numPr>
        <w:ilvl w:val="0"/>
        <w:numId w:val="38"/>
      </w:numPr>
      <w:suppressAutoHyphens w:val="true"/>
      <w:bidi w:val="0"/>
      <w:spacing w:before="120" w:after="120"/>
      <w:jc w:val="both"/>
      <w:textAlignment w:val="baseline"/>
    </w:pPr>
    <w:rPr>
      <w:rFonts w:ascii="Times New Roman" w:hAnsi="Times New Roman" w:eastAsia="Times New Roman" w:cs="Times New Roman"/>
      <w:color w:val="auto"/>
      <w:kern w:val="0"/>
      <w:sz w:val="22"/>
      <w:szCs w:val="20"/>
      <w:lang w:val="ru-RU" w:eastAsia="en-US" w:bidi="ar-SA"/>
    </w:rPr>
  </w:style>
  <w:style w:type="paragraph" w:styleId="LBScheduleParties-Alt" w:customStyle="1">
    <w:name w:val="LB Schedule Parties - Alt"/>
    <w:qFormat/>
    <w:pPr>
      <w:widowControl/>
      <w:numPr>
        <w:ilvl w:val="0"/>
        <w:numId w:val="39"/>
      </w:numPr>
      <w:suppressAutoHyphens w:val="true"/>
      <w:bidi w:val="0"/>
      <w:spacing w:before="120" w:after="120"/>
      <w:jc w:val="both"/>
      <w:textAlignment w:val="baseline"/>
    </w:pPr>
    <w:rPr>
      <w:rFonts w:ascii="Times New Roman" w:hAnsi="Times New Roman" w:eastAsia="Times New Roman" w:cs="Times New Roman"/>
      <w:color w:val="auto"/>
      <w:kern w:val="0"/>
      <w:sz w:val="22"/>
      <w:szCs w:val="20"/>
      <w:lang w:val="en-GB" w:eastAsia="en-US" w:bidi="ar-SA"/>
    </w:rPr>
  </w:style>
  <w:style w:type="paragraph" w:styleId="LBSimple1" w:customStyle="1">
    <w:name w:val="LB Simple 1"/>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imple1-Alt" w:customStyle="1">
    <w:name w:val="LB Simple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2" w:customStyle="1">
    <w:name w:val="LB Simple 2"/>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Simple2-Alt" w:customStyle="1">
    <w:name w:val="LB Simple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3-Alt" w:customStyle="1">
    <w:name w:val="LB Simple 3 - Alt"/>
    <w:qFormat/>
    <w:pPr>
      <w:widowControl/>
      <w:numPr>
        <w:ilvl w:val="0"/>
        <w:numId w:val="40"/>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en-GB" w:eastAsia="en-US" w:bidi="ar-SA"/>
    </w:rPr>
  </w:style>
  <w:style w:type="paragraph" w:styleId="LBSimple3" w:customStyle="1">
    <w:name w:val="LB Simple 3"/>
    <w:qFormat/>
    <w:pPr>
      <w:widowControl/>
      <w:numPr>
        <w:ilvl w:val="0"/>
        <w:numId w:val="41"/>
      </w:numPr>
      <w:suppressAutoHyphens w:val="true"/>
      <w:bidi w:val="0"/>
      <w:spacing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Govstyle1" w:customStyle="1">
    <w:name w:val="LB Gov style 1"/>
    <w:qFormat/>
    <w:pPr>
      <w:widowControl/>
      <w:suppressAutoHyphens w:val="true"/>
      <w:bidi w:val="0"/>
      <w:spacing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Govstyle2" w:customStyle="1">
    <w:name w:val="LB Gov style 2"/>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3" w:customStyle="1">
    <w:name w:val="LB Gov style 3"/>
    <w:basedOn w:val="LBGovstyle2"/>
    <w:qFormat/>
    <w:pPr/>
    <w:rPr/>
  </w:style>
  <w:style w:type="paragraph" w:styleId="LBGovstyle4" w:customStyle="1">
    <w:name w:val="LB Gov style 4"/>
    <w:basedOn w:val="LBGovstyle3"/>
    <w:qFormat/>
    <w:pPr/>
    <w:rPr/>
  </w:style>
  <w:style w:type="paragraph" w:styleId="LBGovstyle5" w:customStyle="1">
    <w:name w:val="LB Gov style 5"/>
    <w:basedOn w:val="LBGovstyle4"/>
    <w:qFormat/>
    <w:pPr/>
    <w:rPr/>
  </w:style>
  <w:style w:type="paragraph" w:styleId="LBGovstyle1-Alt1" w:customStyle="1">
    <w:name w:val="LB Gov style 1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2-Alt" w:customStyle="1">
    <w:name w:val="LB Gov style 2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3-Alt" w:customStyle="1">
    <w:name w:val="LB Gov style 3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4-Alt" w:customStyle="1">
    <w:name w:val="LB Gov style 4 - Alt"/>
    <w:qFormat/>
    <w:pPr>
      <w:widowControl/>
      <w:suppressAutoHyphens w:val="true"/>
      <w:bidi w:val="0"/>
      <w:spacing w:before="120" w:after="120"/>
      <w:jc w:val="both"/>
      <w:textAlignment w:val="baseline"/>
    </w:pPr>
    <w:rPr>
      <w:rFonts w:ascii="Times New Roman" w:hAnsi="Times New Roman" w:eastAsia="Calibri" w:cs="Times New Roman"/>
      <w:color w:val="auto"/>
      <w:kern w:val="0"/>
      <w:sz w:val="22"/>
      <w:szCs w:val="22"/>
      <w:lang w:val="en-US" w:eastAsia="en-US" w:bidi="ar-SA"/>
    </w:rPr>
  </w:style>
  <w:style w:type="paragraph" w:styleId="LBGovstyle5-Alt" w:customStyle="1">
    <w:name w:val="LB Gov style 5 - Alt"/>
    <w:basedOn w:val="LBGovstyle4-Alt"/>
    <w:qFormat/>
    <w:pPr/>
    <w:rPr/>
  </w:style>
  <w:style w:type="paragraph" w:styleId="LBGovstyle6-Alt" w:customStyle="1">
    <w:name w:val="LB Gov style 6 - Alt"/>
    <w:basedOn w:val="LBGovstyle5-Alt"/>
    <w:qFormat/>
    <w:pPr>
      <w:numPr>
        <w:ilvl w:val="0"/>
        <w:numId w:val="42"/>
      </w:numPr>
    </w:pPr>
    <w:rPr/>
  </w:style>
  <w:style w:type="paragraph" w:styleId="LBGovstyle6" w:customStyle="1">
    <w:name w:val="LB Gov style 6"/>
    <w:basedOn w:val="Normal"/>
    <w:qFormat/>
    <w:pPr>
      <w:numPr>
        <w:ilvl w:val="0"/>
        <w:numId w:val="43"/>
      </w:numPr>
      <w:spacing w:lineRule="auto" w:line="240" w:before="120" w:after="120"/>
      <w:jc w:val="both"/>
    </w:pPr>
    <w:rPr>
      <w:rFonts w:ascii="Times New Roman" w:hAnsi="Times New Roman"/>
      <w:lang w:val="en-US"/>
    </w:rPr>
  </w:style>
  <w:style w:type="paragraph" w:styleId="Revision">
    <w:name w:val="Revision"/>
    <w:qFormat/>
    <w:pPr>
      <w:widowControl/>
      <w:suppressAutoHyphens w:val="true"/>
      <w:bidi w:val="0"/>
      <w:spacing w:lineRule="auto" w:line="276" w:before="0" w:after="200"/>
      <w:jc w:val="left"/>
      <w:textAlignment w:val="baseline"/>
    </w:pPr>
    <w:rPr>
      <w:rFonts w:ascii="Times New Roman" w:hAnsi="Times New Roman" w:eastAsia="Calibri" w:cs="Times New Roman"/>
      <w:color w:val="auto"/>
      <w:kern w:val="0"/>
      <w:sz w:val="22"/>
      <w:szCs w:val="22"/>
      <w:lang w:val="ru-RU" w:eastAsia="en-US" w:bidi="ar-SA"/>
    </w:rPr>
  </w:style>
  <w:style w:type="paragraph" w:styleId="LBScheduleSubheading" w:customStyle="1">
    <w:name w:val="LB Schedule Subheading"/>
    <w:basedOn w:val="BodyText"/>
    <w:next w:val="Normal"/>
    <w:qFormat/>
    <w:pPr>
      <w:keepNext w:val="true"/>
      <w:spacing w:before="120" w:after="120"/>
      <w:jc w:val="center"/>
    </w:pPr>
    <w:rPr>
      <w:rFonts w:ascii="Times New Roman" w:hAnsi="Times New Roman" w:eastAsia="MS Mincho"/>
      <w:b/>
      <w:sz w:val="22"/>
    </w:rPr>
  </w:style>
  <w:style w:type="paragraph" w:styleId="BodyText1" w:customStyle="1">
    <w:name w:val="Body Text 1"/>
    <w:basedOn w:val="211"/>
    <w:qFormat/>
    <w:pPr>
      <w:spacing w:before="120" w:after="120"/>
    </w:pPr>
    <w:rPr>
      <w:rFonts w:eastAsia="Times New Roman"/>
      <w:sz w:val="22"/>
      <w:lang w:val="en-GB"/>
    </w:rPr>
  </w:style>
  <w:style w:type="paragraph" w:styleId="LBRoman5" w:customStyle="1">
    <w:name w:val="LB Roman 5"/>
    <w:basedOn w:val="Normal"/>
    <w:qFormat/>
    <w:pPr>
      <w:numPr>
        <w:ilvl w:val="0"/>
        <w:numId w:val="18"/>
      </w:numPr>
      <w:spacing w:before="120" w:after="120"/>
    </w:pPr>
    <w:rPr>
      <w:rFonts w:eastAsia="MS Mincho"/>
      <w:szCs w:val="20"/>
    </w:rPr>
  </w:style>
  <w:style w:type="paragraph" w:styleId="AGovstyle3" w:customStyle="1">
    <w:name w:val="A Gov style 3"/>
    <w:basedOn w:val="Normal"/>
    <w:qFormat/>
    <w:pPr>
      <w:tabs>
        <w:tab w:val="clear" w:pos="708"/>
        <w:tab w:val="left" w:pos="720" w:leader="none"/>
      </w:tabs>
      <w:spacing w:before="120" w:after="120"/>
    </w:pPr>
    <w:rPr/>
  </w:style>
  <w:style w:type="paragraph" w:styleId="Parties" w:customStyle="1">
    <w:name w:val="Parties"/>
    <w:basedOn w:val="BodyText"/>
    <w:qFormat/>
    <w:pPr>
      <w:tabs>
        <w:tab w:val="clear" w:pos="708"/>
        <w:tab w:val="left" w:pos="0" w:leader="none"/>
      </w:tabs>
      <w:spacing w:before="120" w:after="120"/>
      <w:ind w:hanging="720" w:left="720"/>
    </w:pPr>
    <w:rPr>
      <w:rFonts w:ascii="Times New Roman" w:hAnsi="Times New Roman" w:eastAsia="MS Mincho"/>
      <w:sz w:val="22"/>
      <w:lang w:val="en-GB"/>
    </w:rPr>
  </w:style>
  <w:style w:type="paragraph" w:styleId="Recitals" w:customStyle="1">
    <w:name w:val="Recitals"/>
    <w:basedOn w:val="BodyText"/>
    <w:qFormat/>
    <w:pPr>
      <w:tabs>
        <w:tab w:val="clear" w:pos="708"/>
        <w:tab w:val="left" w:pos="0" w:leader="none"/>
      </w:tabs>
      <w:spacing w:before="120" w:after="120"/>
      <w:ind w:hanging="720" w:left="720"/>
    </w:pPr>
    <w:rPr>
      <w:rFonts w:ascii="Times New Roman" w:hAnsi="Times New Roman" w:eastAsia="MS Mincho"/>
      <w:sz w:val="22"/>
      <w:lang w:val="en-GB"/>
    </w:rPr>
  </w:style>
  <w:style w:type="paragraph" w:styleId="Style50" w:customStyle="1">
    <w:name w:val="Все прописные + жирный"/>
    <w:basedOn w:val="BodyText"/>
    <w:qFormat/>
    <w:pPr>
      <w:spacing w:before="0" w:after="220"/>
    </w:pPr>
    <w:rPr>
      <w:rFonts w:ascii="Times New Roman" w:hAnsi="Times New Roman" w:eastAsia="MS Mincho"/>
      <w:b/>
      <w:caps/>
      <w:sz w:val="22"/>
      <w:lang w:val="en-GB"/>
    </w:rPr>
  </w:style>
  <w:style w:type="paragraph" w:styleId="LBRoman3" w:customStyle="1">
    <w:name w:val="LB Roman 3"/>
    <w:basedOn w:val="BodyText3"/>
    <w:qFormat/>
    <w:pPr>
      <w:keepNext w:val="false"/>
      <w:keepLines w:val="false"/>
      <w:widowControl/>
      <w:numPr>
        <w:ilvl w:val="0"/>
        <w:numId w:val="28"/>
      </w:numPr>
      <w:tabs>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0" w:leader="none"/>
      </w:tabs>
      <w:spacing w:before="120" w:after="120"/>
    </w:pPr>
    <w:rPr>
      <w:rFonts w:ascii="Times New Roman" w:hAnsi="Times New Roman" w:eastAsia="MS Mincho"/>
      <w:sz w:val="22"/>
      <w:szCs w:val="20"/>
    </w:rPr>
  </w:style>
  <w:style w:type="paragraph" w:styleId="LBArabic2" w:customStyle="1">
    <w:name w:val="LB Arabic 2"/>
    <w:basedOn w:val="BodyText2"/>
    <w:qFormat/>
    <w:pPr>
      <w:numPr>
        <w:ilvl w:val="0"/>
        <w:numId w:val="21"/>
      </w:numPr>
      <w:tabs>
        <w:tab w:val="clear" w:pos="708"/>
        <w:tab w:val="left" w:pos="1440" w:leader="none"/>
      </w:tabs>
      <w:spacing w:before="120" w:after="120"/>
    </w:pPr>
    <w:rPr>
      <w:rFonts w:ascii="Times New Roman" w:hAnsi="Times New Roman" w:eastAsia="MS Mincho"/>
      <w:sz w:val="22"/>
    </w:rPr>
  </w:style>
  <w:style w:type="paragraph" w:styleId="LBScheduleHeading" w:customStyle="1">
    <w:name w:val="LB Schedule Heading"/>
    <w:basedOn w:val="BodyText"/>
    <w:next w:val="Normal"/>
    <w:qFormat/>
    <w:pPr>
      <w:keepNext w:val="true"/>
      <w:pageBreakBefore/>
      <w:spacing w:before="120" w:after="120"/>
      <w:jc w:val="center"/>
    </w:pPr>
    <w:rPr>
      <w:rFonts w:ascii="Times New Roman" w:hAnsi="Times New Roman" w:eastAsia="MS Mincho"/>
      <w:b/>
      <w:caps/>
      <w:sz w:val="22"/>
    </w:rPr>
  </w:style>
  <w:style w:type="paragraph" w:styleId="LBSchedulePart" w:customStyle="1">
    <w:name w:val="LB Schedule Part"/>
    <w:basedOn w:val="BodyText"/>
    <w:next w:val="BodyText"/>
    <w:qFormat/>
    <w:pPr>
      <w:keepNext w:val="true"/>
      <w:spacing w:before="120" w:after="120"/>
      <w:jc w:val="center"/>
    </w:pPr>
    <w:rPr>
      <w:rFonts w:ascii="Times New Roman" w:hAnsi="Times New Roman" w:eastAsia="MS Mincho"/>
      <w:b/>
      <w:sz w:val="22"/>
    </w:rPr>
  </w:style>
  <w:style w:type="paragraph" w:styleId="LBSchedule5" w:customStyle="1">
    <w:name w:val="LB Schedule 5"/>
    <w:qFormat/>
    <w:pPr>
      <w:widowControl/>
      <w:suppressAutoHyphens w:val="true"/>
      <w:bidi w:val="0"/>
      <w:spacing w:lineRule="auto" w:line="276" w:before="120" w:after="200"/>
      <w:jc w:val="left"/>
      <w:textAlignment w:val="baseline"/>
    </w:pPr>
    <w:rPr>
      <w:rFonts w:ascii="Times New Roman" w:hAnsi="Times New Roman" w:eastAsia="MS Mincho" w:cs="Times New Roman"/>
      <w:color w:val="auto"/>
      <w:kern w:val="0"/>
      <w:sz w:val="22"/>
      <w:szCs w:val="22"/>
      <w:lang w:val="ru-RU" w:eastAsia="en-US" w:bidi="ar-SA"/>
    </w:rPr>
  </w:style>
  <w:style w:type="paragraph" w:styleId="LBSchedule4" w:customStyle="1">
    <w:name w:val="LB Schedule 4"/>
    <w:qFormat/>
    <w:pPr>
      <w:widowControl/>
      <w:suppressAutoHyphens w:val="true"/>
      <w:bidi w:val="0"/>
      <w:spacing w:lineRule="auto" w:line="276" w:before="120" w:after="200"/>
      <w:jc w:val="left"/>
      <w:textAlignment w:val="baseline"/>
    </w:pPr>
    <w:rPr>
      <w:rFonts w:ascii="Times New Roman" w:hAnsi="Times New Roman" w:eastAsia="MS Mincho" w:cs="Times New Roman"/>
      <w:color w:val="auto"/>
      <w:kern w:val="0"/>
      <w:sz w:val="22"/>
      <w:szCs w:val="22"/>
      <w:lang w:val="ru-RU" w:eastAsia="en-US" w:bidi="ar-SA"/>
    </w:rPr>
  </w:style>
  <w:style w:type="paragraph" w:styleId="LBSchedule1" w:customStyle="1">
    <w:name w:val="LB Schedule 1"/>
    <w:basedOn w:val="BodyText"/>
    <w:qFormat/>
    <w:pPr>
      <w:spacing w:before="120" w:after="120"/>
    </w:pPr>
    <w:rPr>
      <w:rFonts w:ascii="Times New Roman" w:hAnsi="Times New Roman" w:eastAsia="MS Mincho"/>
      <w:b/>
      <w:bCs/>
      <w:caps/>
      <w:sz w:val="22"/>
    </w:rPr>
  </w:style>
  <w:style w:type="paragraph" w:styleId="LBSchedule3" w:customStyle="1">
    <w:name w:val="LB Schedule 3"/>
    <w:basedOn w:val="BodyText"/>
    <w:qFormat/>
    <w:pPr>
      <w:spacing w:before="120" w:after="120"/>
    </w:pPr>
    <w:rPr>
      <w:rFonts w:ascii="Times New Roman" w:hAnsi="Times New Roman" w:eastAsia="MS Mincho"/>
      <w:sz w:val="22"/>
    </w:rPr>
  </w:style>
  <w:style w:type="paragraph" w:styleId="LBSchedule2" w:customStyle="1">
    <w:name w:val="LB Schedule 2"/>
    <w:basedOn w:val="BodyText"/>
    <w:qFormat/>
    <w:pPr>
      <w:numPr>
        <w:ilvl w:val="0"/>
        <w:numId w:val="30"/>
      </w:numPr>
      <w:spacing w:before="120" w:after="120"/>
    </w:pPr>
    <w:rPr>
      <w:rFonts w:ascii="Times New Roman" w:hAnsi="Times New Roman" w:eastAsia="MS Mincho"/>
      <w:sz w:val="22"/>
    </w:rPr>
  </w:style>
  <w:style w:type="paragraph" w:styleId="LBArabic1" w:customStyle="1">
    <w:name w:val="LB Arabic 1"/>
    <w:basedOn w:val="BodyText"/>
    <w:qFormat/>
    <w:pPr>
      <w:numPr>
        <w:ilvl w:val="0"/>
        <w:numId w:val="20"/>
      </w:numPr>
      <w:spacing w:before="120" w:after="120"/>
    </w:pPr>
    <w:rPr>
      <w:rFonts w:ascii="Times New Roman" w:hAnsi="Times New Roman" w:eastAsia="MS Mincho"/>
      <w:sz w:val="22"/>
    </w:rPr>
  </w:style>
  <w:style w:type="paragraph" w:styleId="LBArabic3" w:customStyle="1">
    <w:name w:val="LB Arabic 3"/>
    <w:basedOn w:val="BodyText3"/>
    <w:qFormat/>
    <w:pPr>
      <w:keepNext w:val="false"/>
      <w:keepLines w:val="false"/>
      <w:widowControl/>
      <w:numPr>
        <w:ilvl w:val="0"/>
        <w:numId w:val="22"/>
      </w:numPr>
      <w:tabs>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0" w:leader="none"/>
      </w:tabs>
      <w:spacing w:before="120" w:after="120"/>
    </w:pPr>
    <w:rPr>
      <w:rFonts w:ascii="Times New Roman" w:hAnsi="Times New Roman" w:eastAsia="MS Mincho"/>
      <w:sz w:val="22"/>
      <w:szCs w:val="20"/>
    </w:rPr>
  </w:style>
  <w:style w:type="paragraph" w:styleId="LBArabic4" w:customStyle="1">
    <w:name w:val="LB Arabic 4"/>
    <w:basedOn w:val="Normal"/>
    <w:qFormat/>
    <w:pPr>
      <w:numPr>
        <w:ilvl w:val="0"/>
        <w:numId w:val="23"/>
      </w:numPr>
      <w:spacing w:before="120" w:after="120"/>
    </w:pPr>
    <w:rPr>
      <w:rFonts w:eastAsia="MS Mincho"/>
      <w:szCs w:val="20"/>
    </w:rPr>
  </w:style>
  <w:style w:type="paragraph" w:styleId="LBArabic5" w:customStyle="1">
    <w:name w:val="LB Arabic 5"/>
    <w:basedOn w:val="Normal"/>
    <w:qFormat/>
    <w:pPr>
      <w:numPr>
        <w:ilvl w:val="0"/>
        <w:numId w:val="24"/>
      </w:numPr>
      <w:spacing w:before="120" w:after="120"/>
    </w:pPr>
    <w:rPr>
      <w:rFonts w:eastAsia="MS Mincho"/>
      <w:szCs w:val="20"/>
    </w:rPr>
  </w:style>
  <w:style w:type="paragraph" w:styleId="LBArabic6" w:customStyle="1">
    <w:name w:val="LB Arabic 6"/>
    <w:basedOn w:val="Normal"/>
    <w:qFormat/>
    <w:pPr>
      <w:numPr>
        <w:ilvl w:val="0"/>
        <w:numId w:val="25"/>
      </w:numPr>
      <w:spacing w:before="120" w:after="120"/>
    </w:pPr>
    <w:rPr>
      <w:rFonts w:eastAsia="MS Mincho"/>
      <w:szCs w:val="20"/>
    </w:rPr>
  </w:style>
  <w:style w:type="paragraph" w:styleId="BodyText4" w:customStyle="1">
    <w:name w:val="Body Text 4"/>
    <w:basedOn w:val="BodyText"/>
    <w:qFormat/>
    <w:pPr>
      <w:spacing w:before="120" w:after="120"/>
      <w:ind w:left="2160"/>
    </w:pPr>
    <w:rPr>
      <w:rFonts w:ascii="Times New Roman" w:hAnsi="Times New Roman" w:eastAsia="MS Mincho"/>
      <w:sz w:val="22"/>
      <w:lang w:val="en-GB"/>
    </w:rPr>
  </w:style>
  <w:style w:type="paragraph" w:styleId="BodyText5" w:customStyle="1">
    <w:name w:val="Body Text 5"/>
    <w:basedOn w:val="BodyText"/>
    <w:qFormat/>
    <w:pPr>
      <w:spacing w:before="120" w:after="120"/>
      <w:ind w:left="2880"/>
    </w:pPr>
    <w:rPr>
      <w:rFonts w:ascii="Times New Roman" w:hAnsi="Times New Roman" w:eastAsia="MS Mincho"/>
      <w:sz w:val="22"/>
      <w:lang w:val="en-GB"/>
    </w:rPr>
  </w:style>
  <w:style w:type="paragraph" w:styleId="BodyText6" w:customStyle="1">
    <w:name w:val="Body Text 6"/>
    <w:basedOn w:val="BodyText"/>
    <w:qFormat/>
    <w:pPr>
      <w:spacing w:before="120" w:after="120"/>
      <w:ind w:left="3600"/>
    </w:pPr>
    <w:rPr>
      <w:rFonts w:ascii="Times New Roman" w:hAnsi="Times New Roman" w:eastAsia="MS Mincho"/>
      <w:sz w:val="22"/>
      <w:lang w:val="en-GB"/>
    </w:rPr>
  </w:style>
  <w:style w:type="paragraph" w:styleId="LBRoman1" w:customStyle="1">
    <w:name w:val="LB Roman 1"/>
    <w:basedOn w:val="BodyText"/>
    <w:qFormat/>
    <w:pPr>
      <w:numPr>
        <w:ilvl w:val="0"/>
        <w:numId w:val="26"/>
      </w:numPr>
      <w:spacing w:before="120" w:after="120"/>
    </w:pPr>
    <w:rPr>
      <w:rFonts w:ascii="Times New Roman" w:hAnsi="Times New Roman" w:eastAsia="Times New Roman"/>
      <w:sz w:val="22"/>
    </w:rPr>
  </w:style>
  <w:style w:type="paragraph" w:styleId="LBRoman2" w:customStyle="1">
    <w:name w:val="LB Roman 2"/>
    <w:basedOn w:val="BodyText2"/>
    <w:qFormat/>
    <w:pPr>
      <w:numPr>
        <w:ilvl w:val="0"/>
        <w:numId w:val="27"/>
      </w:numPr>
      <w:spacing w:before="120" w:after="120"/>
    </w:pPr>
    <w:rPr>
      <w:rFonts w:ascii="Times New Roman" w:hAnsi="Times New Roman" w:eastAsia="MS Mincho"/>
      <w:sz w:val="22"/>
    </w:rPr>
  </w:style>
  <w:style w:type="paragraph" w:styleId="LBRoman4" w:customStyle="1">
    <w:name w:val="LB Roman 4"/>
    <w:basedOn w:val="BodyText4"/>
    <w:qFormat/>
    <w:pPr>
      <w:numPr>
        <w:ilvl w:val="0"/>
        <w:numId w:val="29"/>
      </w:numPr>
    </w:pPr>
    <w:rPr>
      <w:lang w:val="ru-RU"/>
    </w:rPr>
  </w:style>
  <w:style w:type="paragraph" w:styleId="313" w:customStyle="1">
    <w:name w:val="Основной текст 31"/>
    <w:basedOn w:val="BodyText4"/>
    <w:qFormat/>
    <w:pPr>
      <w:ind w:left="1440"/>
    </w:pPr>
    <w:rPr>
      <w:rFonts w:eastAsia="Times New Roman"/>
    </w:rPr>
  </w:style>
  <w:style w:type="paragraph" w:styleId="NameoftheParty-AND" w:customStyle="1">
    <w:name w:val="Name of the Party - AND"/>
    <w:basedOn w:val="BodyText1"/>
    <w:qFormat/>
    <w:pPr>
      <w:jc w:val="center"/>
    </w:pPr>
    <w:rPr/>
  </w:style>
  <w:style w:type="paragraph" w:styleId="NameoftheParty" w:customStyle="1">
    <w:name w:val="Name of the Party"/>
    <w:basedOn w:val="NameoftheParty-AND"/>
    <w:qFormat/>
    <w:pPr/>
    <w:rPr>
      <w:b/>
      <w:bCs/>
    </w:rPr>
  </w:style>
  <w:style w:type="paragraph" w:styleId="Schedule1" w:customStyle="1">
    <w:name w:val="Schedule 1"/>
    <w:basedOn w:val="Normal"/>
    <w:qFormat/>
    <w:pPr>
      <w:spacing w:lineRule="auto" w:line="288" w:before="0" w:after="140"/>
      <w:outlineLvl w:val="0"/>
    </w:pPr>
    <w:rPr>
      <w:rFonts w:ascii="Arial" w:hAnsi="Arial" w:eastAsia="Times New Roman"/>
      <w:kern w:val="2"/>
      <w:sz w:val="20"/>
      <w:szCs w:val="24"/>
    </w:rPr>
  </w:style>
  <w:style w:type="paragraph" w:styleId="Schedule2" w:customStyle="1">
    <w:name w:val="Schedule 2"/>
    <w:basedOn w:val="Normal"/>
    <w:qFormat/>
    <w:pPr>
      <w:spacing w:lineRule="auto" w:line="288" w:before="0" w:after="140"/>
      <w:outlineLvl w:val="1"/>
    </w:pPr>
    <w:rPr>
      <w:rFonts w:ascii="Arial" w:hAnsi="Arial" w:eastAsia="Times New Roman"/>
      <w:kern w:val="2"/>
      <w:sz w:val="20"/>
      <w:szCs w:val="24"/>
    </w:rPr>
  </w:style>
  <w:style w:type="paragraph" w:styleId="Schedule3" w:customStyle="1">
    <w:name w:val="Schedule 3"/>
    <w:basedOn w:val="Normal"/>
    <w:qFormat/>
    <w:pPr>
      <w:spacing w:lineRule="auto" w:line="288" w:before="0" w:after="140"/>
      <w:outlineLvl w:val="2"/>
    </w:pPr>
    <w:rPr>
      <w:rFonts w:ascii="Arial" w:hAnsi="Arial" w:eastAsia="Times New Roman"/>
      <w:kern w:val="2"/>
      <w:sz w:val="20"/>
      <w:szCs w:val="24"/>
    </w:rPr>
  </w:style>
  <w:style w:type="paragraph" w:styleId="Schedule4" w:customStyle="1">
    <w:name w:val="Schedule 4"/>
    <w:basedOn w:val="Normal"/>
    <w:qFormat/>
    <w:pPr>
      <w:spacing w:lineRule="auto" w:line="288" w:before="0" w:after="140"/>
      <w:outlineLvl w:val="3"/>
    </w:pPr>
    <w:rPr>
      <w:rFonts w:ascii="Arial" w:hAnsi="Arial" w:eastAsia="Times New Roman"/>
      <w:kern w:val="2"/>
      <w:sz w:val="20"/>
      <w:szCs w:val="24"/>
    </w:rPr>
  </w:style>
  <w:style w:type="paragraph" w:styleId="Schedule5" w:customStyle="1">
    <w:name w:val="Schedule 5"/>
    <w:basedOn w:val="Normal"/>
    <w:qFormat/>
    <w:pPr>
      <w:spacing w:lineRule="auto" w:line="288" w:before="0" w:after="140"/>
      <w:outlineLvl w:val="4"/>
    </w:pPr>
    <w:rPr>
      <w:rFonts w:ascii="Arial" w:hAnsi="Arial" w:eastAsia="Times New Roman"/>
      <w:kern w:val="2"/>
      <w:sz w:val="20"/>
      <w:szCs w:val="24"/>
    </w:rPr>
  </w:style>
  <w:style w:type="paragraph" w:styleId="Schedule6" w:customStyle="1">
    <w:name w:val="Schedule 6"/>
    <w:basedOn w:val="Normal"/>
    <w:qFormat/>
    <w:pPr>
      <w:numPr>
        <w:ilvl w:val="0"/>
        <w:numId w:val="31"/>
      </w:numPr>
      <w:spacing w:lineRule="auto" w:line="288" w:before="0" w:after="140"/>
      <w:outlineLvl w:val="5"/>
    </w:pPr>
    <w:rPr>
      <w:rFonts w:ascii="Arial" w:hAnsi="Arial" w:eastAsia="Times New Roman"/>
      <w:kern w:val="2"/>
      <w:sz w:val="20"/>
      <w:szCs w:val="24"/>
    </w:rPr>
  </w:style>
  <w:style w:type="paragraph" w:styleId="LBNumHeading1" w:customStyle="1">
    <w:name w:val="LB Num Heading 1"/>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2" w:customStyle="1">
    <w:name w:val="LB Num Heading 2"/>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3" w:customStyle="1">
    <w:name w:val="LB Num Heading 3"/>
    <w:qFormat/>
    <w:pPr>
      <w:widowControl/>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3-111" w:customStyle="1">
    <w:name w:val="LB Num Heading 3 - 1.1.1"/>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4" w:customStyle="1">
    <w:name w:val="LB Num Heading 4"/>
    <w:qFormat/>
    <w:pPr>
      <w:widowControl/>
      <w:tabs>
        <w:tab w:val="clear" w:pos="708"/>
        <w:tab w:val="left" w:pos="216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5" w:customStyle="1">
    <w:name w:val="LB Num Heading 5"/>
    <w:qFormat/>
    <w:pPr>
      <w:widowControl/>
      <w:tabs>
        <w:tab w:val="clear" w:pos="708"/>
        <w:tab w:val="left" w:pos="288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1-Alt" w:customStyle="1">
    <w:name w:val="LB Num Heading 1 - Alt"/>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ru-RU" w:eastAsia="en-US" w:bidi="ar-SA"/>
    </w:rPr>
  </w:style>
  <w:style w:type="paragraph" w:styleId="LBNumHeading2-Alt" w:customStyle="1">
    <w:name w:val="LB Num Heading 2 - Alt"/>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NumHeading3-Alt" w:customStyle="1">
    <w:name w:val="LB Num Heading 3 - Alt"/>
    <w:qFormat/>
    <w:pPr>
      <w:widowControl/>
      <w:tabs>
        <w:tab w:val="clear" w:pos="708"/>
        <w:tab w:val="left" w:pos="144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Heading3-111Alt" w:customStyle="1">
    <w:name w:val="LB Num Heading 3 - 1.1.1 Alt"/>
    <w:qFormat/>
    <w:pPr>
      <w:widowControl/>
      <w:tabs>
        <w:tab w:val="clear" w:pos="708"/>
        <w:tab w:val="left" w:pos="720" w:leader="none"/>
      </w:tabs>
      <w:suppressAutoHyphens w:val="true"/>
      <w:bidi w:val="0"/>
      <w:spacing w:lineRule="auto" w:line="276"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LBNumHeading4-Alt" w:customStyle="1">
    <w:name w:val="LB Num Heading 4 - Alt"/>
    <w:qFormat/>
    <w:pPr>
      <w:widowControl/>
      <w:tabs>
        <w:tab w:val="clear" w:pos="708"/>
        <w:tab w:val="left" w:pos="216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Heading5-Alt" w:customStyle="1">
    <w:name w:val="LB Num Heading 5 - Alt"/>
    <w:qFormat/>
    <w:pPr>
      <w:widowControl/>
      <w:tabs>
        <w:tab w:val="clear" w:pos="708"/>
        <w:tab w:val="left" w:pos="2880" w:leader="none"/>
      </w:tabs>
      <w:suppressAutoHyphens w:val="true"/>
      <w:bidi w:val="0"/>
      <w:spacing w:lineRule="auto" w:line="276" w:before="120" w:after="120"/>
      <w:jc w:val="both"/>
      <w:textAlignment w:val="baseline"/>
    </w:pPr>
    <w:rPr>
      <w:rFonts w:ascii="Times New Roman" w:hAnsi="Times New Roman" w:eastAsia="Calibri" w:cs="Times New Roman"/>
      <w:b/>
      <w:color w:val="auto"/>
      <w:kern w:val="0"/>
      <w:sz w:val="22"/>
      <w:szCs w:val="22"/>
      <w:lang w:val="en-US" w:eastAsia="en-US" w:bidi="ar-SA"/>
    </w:rPr>
  </w:style>
  <w:style w:type="paragraph" w:styleId="LBNumParties" w:customStyle="1">
    <w:name w:val="LB Num Parties"/>
    <w:basedOn w:val="Parties"/>
    <w:qFormat/>
    <w:pPr>
      <w:numPr>
        <w:ilvl w:val="0"/>
        <w:numId w:val="5"/>
      </w:numPr>
      <w:spacing w:before="120" w:after="0"/>
    </w:pPr>
    <w:rPr>
      <w:rFonts w:ascii="Calibri" w:hAnsi="Calibri"/>
      <w:sz w:val="20"/>
      <w:lang w:val="ru-RU" w:eastAsia="ru-RU"/>
    </w:rPr>
  </w:style>
  <w:style w:type="paragraph" w:styleId="LBNumParties-Alt" w:customStyle="1">
    <w:name w:val="LB Num Parties - Alt"/>
    <w:basedOn w:val="Parties-Alt"/>
    <w:qFormat/>
    <w:pPr/>
    <w:rPr>
      <w:lang w:val="en-US"/>
    </w:rPr>
  </w:style>
  <w:style w:type="paragraph" w:styleId="LBNumRecitals" w:customStyle="1">
    <w:name w:val="LB Num Recitals"/>
    <w:basedOn w:val="Recitals"/>
    <w:qFormat/>
    <w:pPr>
      <w:numPr>
        <w:ilvl w:val="0"/>
        <w:numId w:val="2"/>
      </w:numPr>
      <w:spacing w:before="120" w:after="0"/>
    </w:pPr>
    <w:rPr>
      <w:rFonts w:ascii="Calibri" w:hAnsi="Calibri"/>
      <w:sz w:val="20"/>
      <w:lang w:val="ru-RU" w:eastAsia="ru-RU"/>
    </w:rPr>
  </w:style>
  <w:style w:type="paragraph" w:styleId="LBNumRecitals-Alt" w:customStyle="1">
    <w:name w:val="LB Num Recitals - Alt"/>
    <w:basedOn w:val="Recitals-Alt"/>
    <w:qFormat/>
    <w:pPr>
      <w:numPr>
        <w:ilvl w:val="0"/>
        <w:numId w:val="4"/>
      </w:numPr>
    </w:pPr>
    <w:rPr>
      <w:lang w:val="en-US"/>
    </w:rPr>
  </w:style>
  <w:style w:type="paragraph" w:styleId="LBChapterHeading" w:customStyle="1">
    <w:name w:val="LB Chapter Heading"/>
    <w:qFormat/>
    <w:pPr>
      <w:widowControl/>
      <w:numPr>
        <w:ilvl w:val="0"/>
        <w:numId w:val="7"/>
      </w:numPr>
      <w:tabs>
        <w:tab w:val="clear" w:pos="708"/>
        <w:tab w:val="left" w:pos="1080" w:leader="none"/>
      </w:tabs>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ScheduleHeading-alt" w:customStyle="1">
    <w:name w:val="LB Schedule Heading - alt"/>
    <w:basedOn w:val="LBScheduleHeading"/>
    <w:qFormat/>
    <w:pPr>
      <w:numPr>
        <w:ilvl w:val="0"/>
        <w:numId w:val="6"/>
      </w:numPr>
      <w:tabs>
        <w:tab w:val="clear" w:pos="708"/>
        <w:tab w:val="left" w:pos="720" w:leader="none"/>
      </w:tabs>
      <w:jc w:val="left"/>
    </w:pPr>
    <w:rPr>
      <w:lang w:val="en-GB"/>
    </w:rPr>
  </w:style>
  <w:style w:type="paragraph" w:styleId="LBChapterHeading-Alt" w:customStyle="1">
    <w:name w:val="LB Chapter Heading - Alt"/>
    <w:qFormat/>
    <w:pPr>
      <w:widowControl/>
      <w:numPr>
        <w:ilvl w:val="0"/>
        <w:numId w:val="8"/>
      </w:numPr>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 w:customStyle="1">
    <w:name w:val="LB Definition"/>
    <w:qFormat/>
    <w:pPr>
      <w:widowControl/>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Subitem" w:customStyle="1">
    <w:name w:val="LB Definition Subitem"/>
    <w:qFormat/>
    <w:pPr>
      <w:widowControl/>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SubSubitem" w:customStyle="1">
    <w:name w:val="LB Definition SubSubitem"/>
    <w:qFormat/>
    <w:pPr>
      <w:widowControl/>
      <w:numPr>
        <w:ilvl w:val="0"/>
        <w:numId w:val="9"/>
      </w:numPr>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Alt" w:customStyle="1">
    <w:name w:val="LB Definition - Alt"/>
    <w:qFormat/>
    <w:pPr>
      <w:widowControl/>
      <w:suppressAutoHyphens w:val="true"/>
      <w:bidi w:val="0"/>
      <w:spacing w:lineRule="auto" w:line="276" w:before="120" w:after="120"/>
      <w:jc w:val="left"/>
      <w:textAlignment w:val="baseline"/>
    </w:pPr>
    <w:rPr>
      <w:rFonts w:ascii="Times New Roman" w:hAnsi="Times New Roman" w:eastAsia="Calibri" w:cs="Times New Roman"/>
      <w:b/>
      <w:color w:val="auto"/>
      <w:kern w:val="0"/>
      <w:sz w:val="22"/>
      <w:szCs w:val="22"/>
      <w:lang w:val="ru-RU" w:eastAsia="en-US" w:bidi="ar-SA"/>
    </w:rPr>
  </w:style>
  <w:style w:type="paragraph" w:styleId="LBDefinitionSubitem-Alt" w:customStyle="1">
    <w:name w:val="LB Definition Subitem - Alt"/>
    <w:qFormat/>
    <w:pPr>
      <w:widowControl/>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DefinitionSubSubItem-alt" w:customStyle="1">
    <w:name w:val="LB Definition SubSubItem - alt"/>
    <w:qFormat/>
    <w:pPr>
      <w:widowControl/>
      <w:numPr>
        <w:ilvl w:val="0"/>
        <w:numId w:val="10"/>
      </w:numPr>
      <w:suppressAutoHyphens w:val="true"/>
      <w:bidi w:val="0"/>
      <w:spacing w:lineRule="auto" w:line="276" w:before="120" w:after="120"/>
      <w:jc w:val="left"/>
      <w:textAlignment w:val="baseline"/>
    </w:pPr>
    <w:rPr>
      <w:rFonts w:ascii="Times New Roman" w:hAnsi="Times New Roman" w:eastAsia="Calibri" w:cs="Times New Roman"/>
      <w:color w:val="auto"/>
      <w:kern w:val="0"/>
      <w:sz w:val="22"/>
      <w:szCs w:val="22"/>
      <w:lang w:val="ru-RU" w:eastAsia="en-US" w:bidi="ar-SA"/>
    </w:rPr>
  </w:style>
  <w:style w:type="paragraph" w:styleId="LBNumParagraph1" w:customStyle="1">
    <w:name w:val="LB Num Paragraph 1"/>
    <w:basedOn w:val="LBNumHeading1"/>
    <w:qFormat/>
    <w:pPr/>
    <w:rPr>
      <w:b w:val="false"/>
    </w:rPr>
  </w:style>
  <w:style w:type="paragraph" w:styleId="LBNumParagraph2" w:customStyle="1">
    <w:name w:val="LB Num Paragraph 2"/>
    <w:basedOn w:val="LBNumHeading2"/>
    <w:qFormat/>
    <w:pPr/>
    <w:rPr>
      <w:b w:val="false"/>
    </w:rPr>
  </w:style>
  <w:style w:type="paragraph" w:styleId="LBNumParagraph3111" w:customStyle="1">
    <w:name w:val="LB Num Paragraph 3 1.1.1"/>
    <w:basedOn w:val="LBNumHeading3-111"/>
    <w:qFormat/>
    <w:pPr/>
    <w:rPr>
      <w:b w:val="false"/>
    </w:rPr>
  </w:style>
  <w:style w:type="paragraph" w:styleId="LBNumParagraph4" w:customStyle="1">
    <w:name w:val="LB Num Paragraph 4"/>
    <w:basedOn w:val="LBNumHeading4"/>
    <w:qFormat/>
    <w:pPr/>
    <w:rPr>
      <w:b w:val="false"/>
    </w:rPr>
  </w:style>
  <w:style w:type="paragraph" w:styleId="LBNumParagraph5" w:customStyle="1">
    <w:name w:val="LB Num Paragraph 5"/>
    <w:basedOn w:val="LBNumHeading5"/>
    <w:qFormat/>
    <w:pPr/>
    <w:rPr>
      <w:b w:val="false"/>
    </w:rPr>
  </w:style>
  <w:style w:type="paragraph" w:styleId="LBNumParagraph3" w:customStyle="1">
    <w:name w:val="LB Num Paragraph 3"/>
    <w:basedOn w:val="LBNumHeading3"/>
    <w:qFormat/>
    <w:pPr>
      <w:numPr>
        <w:ilvl w:val="0"/>
        <w:numId w:val="3"/>
      </w:numPr>
    </w:pPr>
    <w:rPr>
      <w:b w:val="false"/>
    </w:rPr>
  </w:style>
  <w:style w:type="paragraph" w:styleId="Roman3" w:customStyle="1">
    <w:name w:val="Roman 3"/>
    <w:basedOn w:val="BodyText3"/>
    <w:qFormat/>
    <w:pPr>
      <w:keepNext w:val="false"/>
      <w:keepLines w:val="false"/>
      <w:widowControl/>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720" w:leader="none"/>
      </w:tabs>
      <w:spacing w:before="120" w:after="120"/>
      <w:ind w:hanging="720" w:left="720"/>
    </w:pPr>
    <w:rPr>
      <w:rFonts w:ascii="Times New Roman" w:hAnsi="Times New Roman" w:eastAsia="MS Mincho"/>
      <w:sz w:val="22"/>
      <w:szCs w:val="20"/>
      <w:lang w:val="en-GB"/>
    </w:rPr>
  </w:style>
  <w:style w:type="paragraph" w:styleId="Arabic2" w:customStyle="1">
    <w:name w:val="Arabic 2"/>
    <w:basedOn w:val="BodyText2"/>
    <w:qFormat/>
    <w:pPr>
      <w:tabs>
        <w:tab w:val="clear" w:pos="708"/>
        <w:tab w:val="left" w:pos="360" w:leader="none"/>
      </w:tabs>
      <w:spacing w:before="120" w:after="120"/>
    </w:pPr>
    <w:rPr>
      <w:rFonts w:ascii="Times New Roman" w:hAnsi="Times New Roman" w:eastAsia="MS Mincho"/>
      <w:sz w:val="22"/>
      <w:lang w:val="en-GB"/>
    </w:rPr>
  </w:style>
  <w:style w:type="paragraph" w:styleId="Arabic1" w:customStyle="1">
    <w:name w:val="Arabic 1"/>
    <w:basedOn w:val="BodyText"/>
    <w:qFormat/>
    <w:pPr>
      <w:tabs>
        <w:tab w:val="clear" w:pos="708"/>
        <w:tab w:val="left" w:pos="3600" w:leader="none"/>
      </w:tabs>
      <w:spacing w:before="120" w:after="120"/>
      <w:ind w:hanging="720" w:left="720"/>
    </w:pPr>
    <w:rPr>
      <w:rFonts w:ascii="Times New Roman" w:hAnsi="Times New Roman" w:eastAsia="MS Mincho"/>
      <w:sz w:val="22"/>
      <w:lang w:val="en-GB"/>
    </w:rPr>
  </w:style>
  <w:style w:type="paragraph" w:styleId="Arabic3" w:customStyle="1">
    <w:name w:val="Arabic 3"/>
    <w:basedOn w:val="BodyText3"/>
    <w:qFormat/>
    <w:pPr>
      <w:keepNext w:val="false"/>
      <w:keepLines w:val="false"/>
      <w:widowControl/>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2160" w:leader="none"/>
      </w:tabs>
      <w:spacing w:before="120" w:after="120"/>
      <w:ind w:hanging="720" w:left="2160"/>
    </w:pPr>
    <w:rPr>
      <w:rFonts w:ascii="Times New Roman" w:hAnsi="Times New Roman" w:eastAsia="MS Mincho"/>
      <w:sz w:val="22"/>
      <w:szCs w:val="20"/>
      <w:lang w:val="en-GB"/>
    </w:rPr>
  </w:style>
  <w:style w:type="paragraph" w:styleId="Arabic4" w:customStyle="1">
    <w:name w:val="Arabic 4"/>
    <w:basedOn w:val="Normal"/>
    <w:qFormat/>
    <w:pPr>
      <w:tabs>
        <w:tab w:val="clear" w:pos="708"/>
        <w:tab w:val="left" w:pos="14400" w:leader="none"/>
      </w:tabs>
      <w:spacing w:before="120" w:after="120"/>
      <w:ind w:hanging="720" w:left="2880"/>
    </w:pPr>
    <w:rPr>
      <w:rFonts w:eastAsia="MS Mincho"/>
      <w:szCs w:val="20"/>
      <w:lang w:val="en-GB"/>
    </w:rPr>
  </w:style>
  <w:style w:type="paragraph" w:styleId="Arabic5" w:customStyle="1">
    <w:name w:val="Arabic 5"/>
    <w:basedOn w:val="Normal"/>
    <w:qFormat/>
    <w:pPr>
      <w:tabs>
        <w:tab w:val="clear" w:pos="708"/>
        <w:tab w:val="left" w:pos="17890" w:leader="none"/>
      </w:tabs>
      <w:spacing w:before="120" w:after="120"/>
      <w:ind w:hanging="720" w:left="3578"/>
    </w:pPr>
    <w:rPr>
      <w:rFonts w:eastAsia="MS Mincho"/>
      <w:szCs w:val="20"/>
      <w:lang w:val="en-GB"/>
    </w:rPr>
  </w:style>
  <w:style w:type="paragraph" w:styleId="Arabic6" w:customStyle="1">
    <w:name w:val="Arabic 6"/>
    <w:basedOn w:val="Normal"/>
    <w:qFormat/>
    <w:pPr>
      <w:tabs>
        <w:tab w:val="clear" w:pos="708"/>
        <w:tab w:val="left" w:pos="21205" w:leader="none"/>
      </w:tabs>
      <w:spacing w:before="120" w:after="120"/>
      <w:ind w:hanging="720" w:left="4241"/>
    </w:pPr>
    <w:rPr>
      <w:rFonts w:eastAsia="MS Mincho"/>
      <w:szCs w:val="20"/>
      <w:lang w:val="en-GB"/>
    </w:rPr>
  </w:style>
  <w:style w:type="paragraph" w:styleId="Roman1" w:customStyle="1">
    <w:name w:val="Roman 1"/>
    <w:basedOn w:val="BodyText"/>
    <w:qFormat/>
    <w:pPr>
      <w:tabs>
        <w:tab w:val="clear" w:pos="708"/>
        <w:tab w:val="left" w:pos="3600" w:leader="none"/>
      </w:tabs>
      <w:spacing w:before="120" w:after="120"/>
      <w:ind w:hanging="720" w:left="720"/>
    </w:pPr>
    <w:rPr>
      <w:rFonts w:ascii="Times New Roman" w:hAnsi="Times New Roman" w:eastAsia="Times New Roman"/>
      <w:sz w:val="22"/>
      <w:lang w:val="en-GB"/>
    </w:rPr>
  </w:style>
  <w:style w:type="paragraph" w:styleId="Roman2" w:customStyle="1">
    <w:name w:val="Roman 2"/>
    <w:basedOn w:val="BodyText2"/>
    <w:qFormat/>
    <w:pPr>
      <w:tabs>
        <w:tab w:val="clear" w:pos="708"/>
        <w:tab w:val="left" w:pos="7200" w:leader="none"/>
      </w:tabs>
      <w:spacing w:before="120" w:after="120"/>
      <w:ind w:hanging="720" w:left="1440"/>
    </w:pPr>
    <w:rPr>
      <w:rFonts w:ascii="Times New Roman" w:hAnsi="Times New Roman" w:eastAsia="MS Mincho"/>
      <w:sz w:val="22"/>
      <w:lang w:val="en-GB"/>
    </w:rPr>
  </w:style>
  <w:style w:type="paragraph" w:styleId="Roman4" w:customStyle="1">
    <w:name w:val="Roman 4"/>
    <w:basedOn w:val="BodyText4"/>
    <w:qFormat/>
    <w:pPr>
      <w:tabs>
        <w:tab w:val="clear" w:pos="708"/>
        <w:tab w:val="left" w:pos="14400" w:leader="none"/>
      </w:tabs>
      <w:ind w:hanging="720" w:left="2880"/>
    </w:pPr>
    <w:rPr/>
  </w:style>
  <w:style w:type="paragraph" w:styleId="Roman5" w:customStyle="1">
    <w:name w:val="Roman 5"/>
    <w:basedOn w:val="BodyText5"/>
    <w:qFormat/>
    <w:pPr>
      <w:tabs>
        <w:tab w:val="clear" w:pos="708"/>
        <w:tab w:val="left" w:pos="17890" w:leader="none"/>
      </w:tabs>
      <w:ind w:hanging="720" w:left="3578"/>
    </w:pPr>
    <w:rPr/>
  </w:style>
  <w:style w:type="paragraph" w:styleId="LBBOLDCAPS" w:customStyle="1">
    <w:name w:val="LB BOLD CAPS"/>
    <w:basedOn w:val="BodyText1"/>
    <w:qFormat/>
    <w:pPr/>
    <w:rPr>
      <w:b/>
      <w:bCs/>
      <w:caps/>
      <w:lang w:val="ru-RU"/>
    </w:rPr>
  </w:style>
  <w:style w:type="paragraph" w:styleId="LBSCHEDULE11" w:customStyle="1">
    <w:name w:val="LB SCHEDULE 11"/>
    <w:basedOn w:val="LBSchedule1"/>
    <w:qFormat/>
    <w:pPr>
      <w:tabs>
        <w:tab w:val="clear" w:pos="708"/>
        <w:tab w:val="left" w:pos="3600" w:leader="none"/>
      </w:tabs>
      <w:ind w:hanging="720" w:left="720"/>
    </w:pPr>
    <w:rPr/>
  </w:style>
  <w:style w:type="paragraph" w:styleId="1-1" w:customStyle="1">
    <w:name w:val="Заголовок 1 -1"/>
    <w:basedOn w:val="Heading1"/>
    <w:next w:val="BodyText"/>
    <w:qFormat/>
    <w:pPr>
      <w:numPr>
        <w:ilvl w:val="0"/>
        <w:numId w:val="0"/>
      </w:numPr>
      <w:tabs>
        <w:tab w:val="clear" w:pos="708"/>
        <w:tab w:val="left" w:pos="7200" w:leader="none"/>
      </w:tabs>
      <w:ind w:hanging="720" w:left="1440"/>
    </w:pPr>
    <w:rPr>
      <w:rFonts w:eastAsia="Times New Roman"/>
      <w:b w:val="false"/>
    </w:rPr>
  </w:style>
  <w:style w:type="paragraph" w:styleId="Style51" w:customStyle="1">
    <w:name w:val="полужирный По центру"/>
    <w:basedOn w:val="BdyText2"/>
    <w:qFormat/>
    <w:pPr>
      <w:jc w:val="center"/>
    </w:pPr>
    <w:rPr>
      <w:rFonts w:eastAsia="Times New Roman"/>
      <w:b/>
      <w:bCs/>
    </w:rPr>
  </w:style>
  <w:style w:type="paragraph" w:styleId="Level1" w:customStyle="1">
    <w:name w:val="Level 1"/>
    <w:basedOn w:val="Normal"/>
    <w:next w:val="Normal"/>
    <w:qFormat/>
    <w:pPr>
      <w:keepNext w:val="true"/>
      <w:spacing w:lineRule="auto" w:line="288" w:before="140" w:after="140"/>
      <w:outlineLvl w:val="0"/>
    </w:pPr>
    <w:rPr>
      <w:rFonts w:ascii="Arial" w:hAnsi="Arial" w:eastAsia="Times New Roman"/>
      <w:b/>
      <w:kern w:val="2"/>
      <w:szCs w:val="20"/>
    </w:rPr>
  </w:style>
  <w:style w:type="paragraph" w:styleId="Level2" w:customStyle="1">
    <w:name w:val="Level 2"/>
    <w:basedOn w:val="Normal"/>
    <w:qFormat/>
    <w:pPr>
      <w:spacing w:lineRule="auto" w:line="288" w:before="0" w:after="140"/>
    </w:pPr>
    <w:rPr>
      <w:rFonts w:ascii="Arial" w:hAnsi="Arial" w:eastAsia="Times New Roman"/>
      <w:kern w:val="2"/>
      <w:sz w:val="20"/>
      <w:szCs w:val="20"/>
    </w:rPr>
  </w:style>
  <w:style w:type="paragraph" w:styleId="Level3" w:customStyle="1">
    <w:name w:val="Level 3"/>
    <w:basedOn w:val="Normal"/>
    <w:qFormat/>
    <w:pPr>
      <w:spacing w:lineRule="auto" w:line="288" w:before="0" w:after="140"/>
    </w:pPr>
    <w:rPr>
      <w:rFonts w:ascii="Arial" w:hAnsi="Arial" w:eastAsia="Times New Roman"/>
      <w:kern w:val="2"/>
      <w:sz w:val="20"/>
      <w:szCs w:val="20"/>
    </w:rPr>
  </w:style>
  <w:style w:type="paragraph" w:styleId="Level4" w:customStyle="1">
    <w:name w:val="Level 4"/>
    <w:basedOn w:val="Normal"/>
    <w:qFormat/>
    <w:pPr>
      <w:spacing w:lineRule="auto" w:line="288" w:before="0" w:after="140"/>
    </w:pPr>
    <w:rPr>
      <w:rFonts w:ascii="Arial" w:hAnsi="Arial" w:eastAsia="Times New Roman"/>
      <w:kern w:val="2"/>
      <w:sz w:val="20"/>
      <w:szCs w:val="20"/>
    </w:rPr>
  </w:style>
  <w:style w:type="paragraph" w:styleId="Level5" w:customStyle="1">
    <w:name w:val="Level 5"/>
    <w:basedOn w:val="Normal"/>
    <w:qFormat/>
    <w:pPr>
      <w:spacing w:lineRule="auto" w:line="288" w:before="0" w:after="140"/>
    </w:pPr>
    <w:rPr>
      <w:rFonts w:ascii="Arial" w:hAnsi="Arial" w:eastAsia="Times New Roman"/>
      <w:kern w:val="2"/>
      <w:sz w:val="20"/>
      <w:szCs w:val="20"/>
    </w:rPr>
  </w:style>
  <w:style w:type="paragraph" w:styleId="Level6" w:customStyle="1">
    <w:name w:val="Level 6"/>
    <w:basedOn w:val="Normal"/>
    <w:qFormat/>
    <w:pPr>
      <w:numPr>
        <w:ilvl w:val="0"/>
        <w:numId w:val="11"/>
      </w:numPr>
      <w:spacing w:lineRule="auto" w:line="288" w:before="0" w:after="140"/>
    </w:pPr>
    <w:rPr>
      <w:rFonts w:ascii="Arial" w:hAnsi="Arial" w:eastAsia="Times New Roman"/>
      <w:kern w:val="2"/>
      <w:sz w:val="20"/>
      <w:szCs w:val="20"/>
    </w:rPr>
  </w:style>
  <w:style w:type="paragraph" w:styleId="zFSNarrative" w:customStyle="1">
    <w:name w:val="zFSNarrative"/>
    <w:basedOn w:val="Normal"/>
    <w:qFormat/>
    <w:pPr>
      <w:spacing w:lineRule="auto" w:line="288" w:before="0" w:after="120"/>
      <w:jc w:val="center"/>
    </w:pPr>
    <w:rPr>
      <w:rFonts w:ascii="Arial" w:hAnsi="Arial" w:eastAsia="Times New Roman"/>
      <w:kern w:val="2"/>
      <w:sz w:val="20"/>
      <w:szCs w:val="24"/>
    </w:rPr>
  </w:style>
  <w:style w:type="paragraph" w:styleId="CharCharCharCharCharCharCharChar" w:customStyle="1">
    <w:name w:val="Char Char Знак Знак Char Char Знак Знак Char Char Знак Знак Char Char"/>
    <w:basedOn w:val="Normal"/>
    <w:qFormat/>
    <w:pPr>
      <w:widowControl w:val="false"/>
      <w:tabs>
        <w:tab w:val="clear" w:pos="708"/>
        <w:tab w:val="left" w:pos="3600" w:leader="none"/>
      </w:tabs>
      <w:spacing w:lineRule="exact" w:line="240" w:before="0" w:after="160"/>
      <w:ind w:hanging="360" w:left="720"/>
      <w:jc w:val="center"/>
    </w:pPr>
    <w:rPr>
      <w:rFonts w:eastAsia="Times New Roman"/>
      <w:b/>
      <w:bCs/>
      <w:i/>
      <w:iCs/>
      <w:sz w:val="28"/>
      <w:szCs w:val="28"/>
      <w:lang w:val="en-GB"/>
    </w:rPr>
  </w:style>
  <w:style w:type="paragraph" w:styleId="AGovstyle2" w:customStyle="1">
    <w:name w:val="A Gov style 2"/>
    <w:basedOn w:val="LBNumHeading2-Alt"/>
    <w:qFormat/>
    <w:pPr/>
    <w:rPr/>
  </w:style>
  <w:style w:type="paragraph" w:styleId="LBNumHeading4-1111Alt" w:customStyle="1">
    <w:name w:val="LB Num Heading 4 - 1.1.1.1 Alt"/>
    <w:basedOn w:val="LBNumHeading3-111"/>
    <w:qFormat/>
    <w:pPr>
      <w:numPr>
        <w:ilvl w:val="0"/>
        <w:numId w:val="12"/>
      </w:numPr>
    </w:pPr>
    <w:rPr/>
  </w:style>
  <w:style w:type="paragraph" w:styleId="AGovstyle1" w:customStyle="1">
    <w:name w:val="A Gov style 1"/>
    <w:basedOn w:val="LBNumHeading1-Alt"/>
    <w:qFormat/>
    <w:pPr>
      <w:numPr>
        <w:ilvl w:val="0"/>
        <w:numId w:val="19"/>
      </w:numPr>
    </w:pPr>
    <w:rPr/>
  </w:style>
  <w:style w:type="paragraph" w:styleId="AGovstyle4" w:customStyle="1">
    <w:name w:val="A Gov style 4"/>
    <w:qFormat/>
    <w:pPr>
      <w:widowControl/>
      <w:suppressAutoHyphens w:val="true"/>
      <w:bidi w:val="0"/>
      <w:spacing w:lineRule="auto" w:line="276" w:before="120" w:after="120"/>
      <w:jc w:val="both"/>
      <w:textAlignment w:val="baseline"/>
    </w:pPr>
    <w:rPr>
      <w:rFonts w:ascii="Times New Roman" w:hAnsi="Times New Roman" w:eastAsia="Calibri" w:cs="Times New Roman"/>
      <w:color w:val="auto"/>
      <w:kern w:val="0"/>
      <w:sz w:val="22"/>
      <w:szCs w:val="22"/>
      <w:lang w:val="ru-RU" w:eastAsia="en-US" w:bidi="ar-SA"/>
    </w:rPr>
  </w:style>
  <w:style w:type="paragraph" w:styleId="AGovStyle5" w:customStyle="1">
    <w:name w:val="A Gov Style 5"/>
    <w:basedOn w:val="LBNumHeading3-Alt"/>
    <w:qFormat/>
    <w:pPr>
      <w:ind w:hanging="720" w:left="720"/>
    </w:pPr>
    <w:rPr>
      <w:b w:val="false"/>
    </w:rPr>
  </w:style>
  <w:style w:type="paragraph" w:styleId="Default" w:customStyle="1">
    <w:name w:val="Default"/>
    <w:qFormat/>
    <w:pPr>
      <w:widowControl/>
      <w:suppressAutoHyphens w:val="true"/>
      <w:bidi w:val="0"/>
      <w:spacing w:lineRule="auto" w:line="276" w:before="0" w:after="200"/>
      <w:jc w:val="left"/>
      <w:textAlignment w:val="baseline"/>
    </w:pPr>
    <w:rPr>
      <w:rFonts w:ascii="Times New Roman" w:hAnsi="Times New Roman" w:eastAsia="Calibri" w:cs="Times New Roman"/>
      <w:color w:val="000000"/>
      <w:kern w:val="0"/>
      <w:sz w:val="24"/>
      <w:szCs w:val="24"/>
      <w:lang w:val="ru-RU" w:eastAsia="ru-RU" w:bidi="ar-SA"/>
    </w:rPr>
  </w:style>
  <w:style w:type="paragraph" w:styleId="msonormal" w:customStyle="1">
    <w:name w:val="msonormal"/>
    <w:basedOn w:val="Normal"/>
    <w:qFormat/>
    <w:pPr>
      <w:spacing w:before="100" w:after="100"/>
    </w:pPr>
    <w:rPr>
      <w:rFonts w:eastAsia="Times New Roman"/>
      <w:sz w:val="24"/>
      <w:szCs w:val="24"/>
      <w:lang w:eastAsia="ru-RU"/>
    </w:rPr>
  </w:style>
  <w:style w:type="paragraph" w:styleId="NoSpacing">
    <w:name w:val="No Spacing"/>
    <w:uiPriority w:val="1"/>
    <w:qFormat/>
    <w:rsid w:val="004a0bc6"/>
    <w:pPr>
      <w:widowControl/>
      <w:suppressAutoHyphens w:val="true"/>
      <w:bidi w:val="0"/>
      <w:spacing w:before="0" w:after="0"/>
      <w:jc w:val="left"/>
    </w:pPr>
    <w:rPr>
      <w:rFonts w:ascii="Times New Roman" w:hAnsi="Times New Roman" w:eastAsia="Calibri" w:cs="" w:cstheme="minorBidi" w:eastAsiaTheme="minorHAnsi"/>
      <w:color w:val="auto"/>
      <w:kern w:val="0"/>
      <w:sz w:val="24"/>
      <w:szCs w:val="22"/>
      <w:lang w:val="ru-RU" w:eastAsia="en-US" w:bidi="ar-SA"/>
    </w:rPr>
  </w:style>
  <w:style w:type="paragraph" w:styleId="Style52" w:customStyle="1">
    <w:name w:val="Содержимое таблицы"/>
    <w:basedOn w:val="Normal"/>
    <w:qFormat/>
    <w:pPr>
      <w:widowControl w:val="false"/>
      <w:suppressLineNumbers/>
    </w:pPr>
    <w:rPr/>
  </w:style>
  <w:style w:type="paragraph" w:styleId="Style53" w:customStyle="1">
    <w:name w:val="Заголовок таблицы"/>
    <w:basedOn w:val="Style52"/>
    <w:qFormat/>
    <w:pPr>
      <w:jc w:val="center"/>
    </w:pPr>
    <w:rPr>
      <w:b/>
      <w:bCs/>
    </w:rPr>
  </w:style>
  <w:style w:type="numbering" w:styleId="Style54" w:default="1">
    <w:name w:val="Без списка"/>
    <w:uiPriority w:val="99"/>
    <w:semiHidden/>
    <w:unhideWhenUsed/>
    <w:qFormat/>
  </w:style>
  <w:style w:type="numbering" w:styleId="WWOutlineListStyle3" w:customStyle="1">
    <w:name w:val="WW_OutlineListStyle_3"/>
    <w:qFormat/>
  </w:style>
  <w:style w:type="numbering" w:styleId="LFO13" w:customStyle="1">
    <w:name w:val="LFO13"/>
    <w:qFormat/>
  </w:style>
  <w:style w:type="numbering" w:styleId="LFO4" w:customStyle="1">
    <w:name w:val="LFO4"/>
    <w:qFormat/>
  </w:style>
  <w:style w:type="numbering" w:styleId="WWOutlineListStyle2" w:customStyle="1">
    <w:name w:val="WW_OutlineListStyle_2"/>
    <w:qFormat/>
  </w:style>
  <w:style w:type="numbering" w:styleId="WWOutlineListStyle1" w:customStyle="1">
    <w:name w:val="WW_OutlineListStyle_1"/>
    <w:qFormat/>
  </w:style>
  <w:style w:type="numbering" w:styleId="WWOutlineListStyle" w:customStyle="1">
    <w:name w:val="WW_OutlineListStyle"/>
    <w:qFormat/>
  </w:style>
  <w:style w:type="numbering" w:styleId="LFO1" w:customStyle="1">
    <w:name w:val="LFO1"/>
    <w:qFormat/>
  </w:style>
  <w:style w:type="numbering" w:styleId="LFO7" w:customStyle="1">
    <w:name w:val="LFO7"/>
    <w:qFormat/>
  </w:style>
  <w:style w:type="numbering" w:styleId="LFO11" w:customStyle="1">
    <w:name w:val="LFO11"/>
    <w:qFormat/>
  </w:style>
  <w:style w:type="numbering" w:styleId="LFO3" w:customStyle="1">
    <w:name w:val="LFO3"/>
    <w:qFormat/>
  </w:style>
  <w:style w:type="numbering" w:styleId="LFO5" w:customStyle="1">
    <w:name w:val="LFO5"/>
    <w:qFormat/>
  </w:style>
  <w:style w:type="numbering" w:styleId="LFO6" w:customStyle="1">
    <w:name w:val="LFO6"/>
    <w:qFormat/>
  </w:style>
  <w:style w:type="numbering" w:styleId="LFO71" w:customStyle="1">
    <w:name w:val="LFO7_1"/>
    <w:qFormat/>
  </w:style>
  <w:style w:type="numbering" w:styleId="LFO8" w:customStyle="1">
    <w:name w:val="LFO8"/>
    <w:qFormat/>
  </w:style>
  <w:style w:type="numbering" w:styleId="LFO9" w:customStyle="1">
    <w:name w:val="LFO9"/>
    <w:qFormat/>
  </w:style>
  <w:style w:type="numbering" w:styleId="LFO10" w:customStyle="1">
    <w:name w:val="LFO10"/>
    <w:qFormat/>
  </w:style>
  <w:style w:type="numbering" w:styleId="LFO111" w:customStyle="1">
    <w:name w:val="LFO11_1"/>
    <w:qFormat/>
  </w:style>
  <w:style w:type="numbering" w:styleId="LFO12" w:customStyle="1">
    <w:name w:val="LFO12"/>
    <w:qFormat/>
  </w:style>
  <w:style w:type="numbering" w:styleId="LFO15" w:customStyle="1">
    <w:name w:val="LFO15"/>
    <w:qFormat/>
  </w:style>
  <w:style w:type="numbering" w:styleId="LFO16" w:customStyle="1">
    <w:name w:val="LFO16"/>
    <w:qFormat/>
  </w:style>
  <w:style w:type="numbering" w:styleId="LFO17" w:customStyle="1">
    <w:name w:val="LFO17"/>
    <w:qFormat/>
  </w:style>
  <w:style w:type="numbering" w:styleId="LFO18" w:customStyle="1">
    <w:name w:val="LFO18"/>
    <w:qFormat/>
  </w:style>
  <w:style w:type="numbering" w:styleId="LFO19" w:customStyle="1">
    <w:name w:val="LFO19"/>
    <w:qFormat/>
  </w:style>
  <w:style w:type="numbering" w:styleId="LFO20" w:customStyle="1">
    <w:name w:val="LFO20"/>
    <w:qFormat/>
  </w:style>
  <w:style w:type="numbering" w:styleId="LFO22" w:customStyle="1">
    <w:name w:val="LFO22"/>
    <w:qFormat/>
  </w:style>
  <w:style w:type="numbering" w:styleId="LFO23" w:customStyle="1">
    <w:name w:val="LFO23"/>
    <w:qFormat/>
  </w:style>
  <w:style w:type="numbering" w:styleId="LFO24" w:customStyle="1">
    <w:name w:val="LFO24"/>
    <w:qFormat/>
  </w:style>
  <w:style w:type="numbering" w:styleId="LFO25" w:customStyle="1">
    <w:name w:val="LFO25"/>
    <w:qFormat/>
  </w:style>
  <w:style w:type="numbering" w:styleId="LFO26" w:customStyle="1">
    <w:name w:val="LFO26"/>
    <w:qFormat/>
  </w:style>
  <w:style w:type="numbering" w:styleId="LFO27" w:customStyle="1">
    <w:name w:val="LFO27"/>
    <w:qFormat/>
  </w:style>
  <w:style w:type="numbering" w:styleId="LFO28" w:customStyle="1">
    <w:name w:val="LFO28"/>
    <w:qFormat/>
  </w:style>
  <w:style w:type="numbering" w:styleId="LFO29" w:customStyle="1">
    <w:name w:val="LFO29"/>
    <w:qFormat/>
  </w:style>
  <w:style w:type="numbering" w:styleId="LFO30" w:customStyle="1">
    <w:name w:val="LFO30"/>
    <w:qFormat/>
  </w:style>
  <w:style w:type="numbering" w:styleId="LFO31" w:customStyle="1">
    <w:name w:val="LFO31"/>
    <w:qFormat/>
  </w:style>
  <w:style w:type="numbering" w:styleId="LFO32" w:customStyle="1">
    <w:name w:val="LFO32"/>
    <w:qFormat/>
  </w:style>
  <w:style w:type="numbering" w:styleId="LFO33" w:customStyle="1">
    <w:name w:val="LFO33"/>
    <w:qFormat/>
  </w:style>
  <w:style w:type="numbering" w:styleId="LFO34" w:customStyle="1">
    <w:name w:val="LFO34"/>
    <w:qFormat/>
  </w:style>
  <w:style w:type="numbering" w:styleId="LFO35" w:customStyle="1">
    <w:name w:val="LFO35"/>
    <w:qFormat/>
  </w:style>
  <w:style w:type="numbering" w:styleId="LFO37" w:customStyle="1">
    <w:name w:val="LFO37"/>
    <w:qFormat/>
  </w:style>
  <w:style w:type="numbering" w:styleId="LFO112" w:customStyle="1">
    <w:name w:val="LFO1_1"/>
    <w:qFormat/>
  </w:style>
  <w:style w:type="numbering" w:styleId="LFO2" w:customStyle="1">
    <w:name w:val="LFO2"/>
    <w:qFormat/>
  </w:style>
  <w:style w:type="numbering" w:styleId="LFO311" w:customStyle="1">
    <w:name w:val="LFO3_1"/>
    <w:qFormat/>
  </w:style>
  <w:style w:type="numbering" w:styleId="LFO41" w:customStyle="1">
    <w:name w:val="LFO4_1"/>
    <w:qFormat/>
  </w:style>
  <w:style w:type="numbering" w:styleId="LFO51" w:customStyle="1">
    <w:name w:val="LFO5_1"/>
    <w:qFormat/>
  </w:style>
  <w:style w:type="numbering" w:styleId="LFO81" w:customStyle="1">
    <w:name w:val="LFO8_1"/>
    <w:qFormat/>
  </w:style>
  <w:style w:type="numbering" w:styleId="LFO44" w:customStyle="1">
    <w:name w:val="LFO44"/>
    <w:qFormat/>
  </w:style>
  <w:style w:type="numbering" w:styleId="LFO46" w:customStyle="1">
    <w:name w:val="LFO46"/>
    <w:qFormat/>
  </w:style>
  <w:style w:type="numbering" w:styleId="LFO47" w:customStyle="1">
    <w:name w:val="LFO47"/>
    <w:qFormat/>
  </w:style>
  <w:style w:type="numbering" w:styleId="LFO48" w:customStyle="1">
    <w:name w:val="LFO48"/>
    <w:qFormat/>
  </w:style>
  <w:style w:type="numbering" w:styleId="LFO49" w:customStyle="1">
    <w:name w:val="LFO49"/>
    <w:qFormat/>
  </w:style>
  <w:style w:type="numbering" w:styleId="LFO50" w:customStyle="1">
    <w:name w:val="LFO50"/>
    <w:qFormat/>
  </w:style>
  <w:style w:type="numbering" w:styleId="LFO511" w:customStyle="1">
    <w:name w:val="LFO51"/>
    <w:qFormat/>
  </w:style>
  <w:style w:type="numbering" w:styleId="LFO52" w:customStyle="1">
    <w:name w:val="LFO52"/>
    <w:qFormat/>
  </w:style>
  <w:style w:type="numbering" w:styleId="LFO53" w:customStyle="1">
    <w:name w:val="LFO53"/>
    <w:qFormat/>
  </w:style>
  <w:style w:type="numbering" w:styleId="LFO54" w:customStyle="1">
    <w:name w:val="LFO54"/>
    <w:qFormat/>
  </w:style>
  <w:style w:type="numbering" w:styleId="LFO55" w:customStyle="1">
    <w:name w:val="LFO55"/>
    <w:qFormat/>
  </w:style>
  <w:style w:type="numbering" w:styleId="LFO56" w:customStyle="1">
    <w:name w:val="LFO56"/>
    <w:qFormat/>
  </w:style>
  <w:style w:type="numbering" w:styleId="LFO57" w:customStyle="1">
    <w:name w:val="LFO57"/>
    <w:qFormat/>
  </w:style>
  <w:style w:type="numbering" w:styleId="LFO58" w:customStyle="1">
    <w:name w:val="LFO58"/>
    <w:qFormat/>
  </w:style>
  <w:style w:type="numbering" w:styleId="LFO59" w:customStyle="1">
    <w:name w:val="LFO59"/>
    <w:qFormat/>
  </w:style>
  <w:style w:type="numbering" w:styleId="LFO61" w:customStyle="1">
    <w:name w:val="LFO61"/>
    <w:qFormat/>
  </w:style>
  <w:style w:type="numbering" w:styleId="LFO62" w:customStyle="1">
    <w:name w:val="LFO62"/>
    <w:qFormat/>
  </w:style>
  <w:style w:type="numbering" w:styleId="LFO63" w:customStyle="1">
    <w:name w:val="LFO63"/>
    <w:qFormat/>
  </w:style>
  <w:style w:type="numbering" w:styleId="LFO64" w:customStyle="1">
    <w:name w:val="LFO64"/>
    <w:qFormat/>
  </w:style>
  <w:style w:type="numbering" w:styleId="LFO65" w:customStyle="1">
    <w:name w:val="LFO65"/>
    <w:qFormat/>
  </w:style>
  <w:style w:type="numbering" w:styleId="LFO66" w:customStyle="1">
    <w:name w:val="LFO66"/>
    <w:qFormat/>
  </w:style>
  <w:style w:type="numbering" w:styleId="LFO67" w:customStyle="1">
    <w:name w:val="LFO67"/>
    <w:qFormat/>
  </w:style>
  <w:style w:type="numbering" w:styleId="LFO68" w:customStyle="1">
    <w:name w:val="LFO68"/>
    <w:qFormat/>
  </w:style>
  <w:style w:type="numbering" w:styleId="LFO69" w:customStyle="1">
    <w:name w:val="LFO69"/>
    <w:qFormat/>
  </w:style>
  <w:style w:type="numbering" w:styleId="LFO70" w:customStyle="1">
    <w:name w:val="LFO70"/>
    <w:qFormat/>
  </w:style>
  <w:style w:type="numbering" w:styleId="LFO711" w:customStyle="1">
    <w:name w:val="LFO71"/>
    <w:qFormat/>
  </w:style>
  <w:style w:type="numbering" w:styleId="LFO72" w:customStyle="1">
    <w:name w:val="LFO72"/>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hyperlink" Target="https://zakupki.gov.ru/epz/ktru/ktruCard/ktru-description.html?itemId=58.29.11.000-00000003&amp;backUrl=" TargetMode="External"/><Relationship Id="rId9" Type="http://schemas.openxmlformats.org/officeDocument/2006/relationships/footer" Target="footer7.xml"/><Relationship Id="rId10" Type="http://schemas.openxmlformats.org/officeDocument/2006/relationships/footer" Target="footer8.xml"/><Relationship Id="rId11" Type="http://schemas.openxmlformats.org/officeDocument/2006/relationships/footer" Target="footer9.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C1F99-1B98-405B-A389-70E7CC9A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Application>LibreOffice/24.8.4.1$Linux_X86_64 LibreOffice_project/480$Build-1</Application>
  <AppVersion>15.0000</AppVersion>
  <Pages>33</Pages>
  <Words>10966</Words>
  <Characters>75935</Characters>
  <CharactersWithSpaces>85627</CharactersWithSpaces>
  <Paragraphs>815</Paragraphs>
  <Company>Doczilla.ru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2024-03-27T09:55:00Z</dcterms:created>
  <dc:creator>Doczilla.ru</dc:creator>
  <dc:description/>
  <dc:language>ru-RU</dc:language>
  <cp:lastModifiedBy/>
  <dcterms:modified xsi:type="dcterms:W3CDTF">2026-06-08T18:30:36Z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