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3C42" w:rsidRPr="00EB2BE7" w:rsidRDefault="00F13C42" w:rsidP="00F13C42">
      <w:pPr>
        <w:pStyle w:val="ConsPlusNormal"/>
        <w:jc w:val="right"/>
        <w:rPr>
          <w:rFonts w:ascii="Times New Roman" w:hAnsi="Times New Roman" w:cs="Times New Roman"/>
        </w:rPr>
      </w:pPr>
      <w:bookmarkStart w:id="0" w:name="_GoBack"/>
      <w:bookmarkEnd w:id="0"/>
    </w:p>
    <w:tbl>
      <w:tblPr>
        <w:tblW w:w="0" w:type="dxa"/>
        <w:tblLayout w:type="fixed"/>
        <w:tblCellMar>
          <w:top w:w="102" w:type="dxa"/>
          <w:left w:w="62" w:type="dxa"/>
          <w:bottom w:w="102" w:type="dxa"/>
          <w:right w:w="62" w:type="dxa"/>
        </w:tblCellMar>
        <w:tblLook w:val="04A0" w:firstRow="1" w:lastRow="0" w:firstColumn="1" w:lastColumn="0" w:noHBand="0" w:noVBand="1"/>
      </w:tblPr>
      <w:tblGrid>
        <w:gridCol w:w="9014"/>
      </w:tblGrid>
      <w:tr w:rsidR="00F13C42" w:rsidRPr="00EB2BE7" w:rsidTr="00E46085">
        <w:tc>
          <w:tcPr>
            <w:tcW w:w="9014" w:type="dxa"/>
            <w:tcBorders>
              <w:top w:val="nil"/>
              <w:left w:val="nil"/>
              <w:bottom w:val="nil"/>
              <w:right w:val="nil"/>
            </w:tcBorders>
            <w:vAlign w:val="bottom"/>
          </w:tcPr>
          <w:p w:rsidR="00F13C42" w:rsidRPr="00041A98" w:rsidRDefault="00F13C42" w:rsidP="00E46085">
            <w:pPr>
              <w:pStyle w:val="ConsPlusNormal"/>
              <w:jc w:val="center"/>
              <w:rPr>
                <w:rFonts w:ascii="Times New Roman" w:hAnsi="Times New Roman" w:cs="Times New Roman"/>
                <w:b/>
                <w:bCs/>
              </w:rPr>
            </w:pPr>
            <w:r w:rsidRPr="00041A98">
              <w:rPr>
                <w:rFonts w:ascii="Times New Roman" w:hAnsi="Times New Roman" w:cs="Times New Roman"/>
                <w:b/>
                <w:bCs/>
              </w:rPr>
              <w:t>ПОРЯДОК</w:t>
            </w:r>
          </w:p>
          <w:p w:rsidR="00F13C42" w:rsidRPr="00041A98" w:rsidRDefault="00F13C42" w:rsidP="00E46085">
            <w:pPr>
              <w:pStyle w:val="ConsPlusNormal"/>
              <w:jc w:val="center"/>
              <w:rPr>
                <w:rFonts w:ascii="Times New Roman" w:hAnsi="Times New Roman" w:cs="Times New Roman"/>
                <w:b/>
                <w:bCs/>
              </w:rPr>
            </w:pPr>
            <w:r w:rsidRPr="00041A98">
              <w:rPr>
                <w:rFonts w:ascii="Times New Roman" w:hAnsi="Times New Roman" w:cs="Times New Roman"/>
                <w:b/>
                <w:bCs/>
              </w:rPr>
              <w:t>рассмотрения и оценки заявок на участие в конкурсе</w:t>
            </w:r>
          </w:p>
        </w:tc>
      </w:tr>
      <w:tr w:rsidR="00F13C42" w:rsidRPr="00EB2BE7" w:rsidTr="00E46085">
        <w:tc>
          <w:tcPr>
            <w:tcW w:w="9014" w:type="dxa"/>
            <w:tcBorders>
              <w:top w:val="nil"/>
              <w:left w:val="nil"/>
              <w:bottom w:val="nil"/>
              <w:right w:val="nil"/>
            </w:tcBorders>
          </w:tcPr>
          <w:p w:rsidR="00F13C42" w:rsidRPr="00041A98" w:rsidRDefault="00F13C42" w:rsidP="00E46085">
            <w:pPr>
              <w:pStyle w:val="ConsPlusNormal"/>
              <w:jc w:val="center"/>
              <w:outlineLvl w:val="2"/>
              <w:rPr>
                <w:rFonts w:ascii="Times New Roman" w:hAnsi="Times New Roman" w:cs="Times New Roman"/>
                <w:b/>
                <w:bCs/>
              </w:rPr>
            </w:pPr>
            <w:r w:rsidRPr="00041A98">
              <w:rPr>
                <w:rFonts w:ascii="Times New Roman" w:hAnsi="Times New Roman" w:cs="Times New Roman"/>
                <w:b/>
                <w:bCs/>
              </w:rPr>
              <w:t>I. Информация о заказчике и закупке товаров, работ, услуг для обеспечения государственных и муниципальных нужд (далее - закупка)</w:t>
            </w:r>
          </w:p>
        </w:tc>
      </w:tr>
    </w:tbl>
    <w:p w:rsidR="00F13C42" w:rsidRPr="00EB2BE7" w:rsidRDefault="00F13C42" w:rsidP="00F13C42">
      <w:pPr>
        <w:pStyle w:val="ConsPlusNormal"/>
        <w:jc w:val="both"/>
        <w:rPr>
          <w:rFonts w:ascii="Times New Roman" w:hAnsi="Times New Roman" w:cs="Times New Roman"/>
        </w:rPr>
      </w:pPr>
    </w:p>
    <w:tbl>
      <w:tblPr>
        <w:tblW w:w="9014" w:type="dxa"/>
        <w:tblBorders>
          <w:bottom w:val="single" w:sz="4" w:space="0" w:color="auto"/>
          <w:right w:val="nil"/>
        </w:tblBorders>
        <w:tblLayout w:type="fixed"/>
        <w:tblCellMar>
          <w:top w:w="102" w:type="dxa"/>
          <w:left w:w="62" w:type="dxa"/>
          <w:bottom w:w="102" w:type="dxa"/>
          <w:right w:w="62" w:type="dxa"/>
        </w:tblCellMar>
        <w:tblLook w:val="04A0" w:firstRow="1" w:lastRow="0" w:firstColumn="1" w:lastColumn="0" w:noHBand="0" w:noVBand="1"/>
      </w:tblPr>
      <w:tblGrid>
        <w:gridCol w:w="3855"/>
        <w:gridCol w:w="2778"/>
        <w:gridCol w:w="1361"/>
        <w:gridCol w:w="1020"/>
      </w:tblGrid>
      <w:tr w:rsidR="00F13C42" w:rsidRPr="00EB2BE7" w:rsidTr="00F13C42">
        <w:tc>
          <w:tcPr>
            <w:tcW w:w="3855" w:type="dxa"/>
            <w:tcBorders>
              <w:top w:val="nil"/>
              <w:left w:val="nil"/>
              <w:bottom w:val="nil"/>
              <w:right w:val="nil"/>
            </w:tcBorders>
          </w:tcPr>
          <w:p w:rsidR="00F13C42" w:rsidRPr="00EB2BE7" w:rsidRDefault="00F13C42" w:rsidP="00E46085">
            <w:pPr>
              <w:pStyle w:val="ConsPlusNormal"/>
              <w:rPr>
                <w:rFonts w:ascii="Times New Roman" w:hAnsi="Times New Roman" w:cs="Times New Roman"/>
              </w:rPr>
            </w:pPr>
          </w:p>
        </w:tc>
        <w:tc>
          <w:tcPr>
            <w:tcW w:w="2778" w:type="dxa"/>
            <w:tcBorders>
              <w:top w:val="nil"/>
              <w:left w:val="nil"/>
              <w:bottom w:val="nil"/>
              <w:right w:val="nil"/>
            </w:tcBorders>
          </w:tcPr>
          <w:p w:rsidR="00F13C42" w:rsidRPr="00EB2BE7" w:rsidRDefault="00F13C42" w:rsidP="00E46085">
            <w:pPr>
              <w:pStyle w:val="ConsPlusNormal"/>
              <w:rPr>
                <w:rFonts w:ascii="Times New Roman" w:hAnsi="Times New Roman" w:cs="Times New Roman"/>
              </w:rPr>
            </w:pPr>
          </w:p>
        </w:tc>
        <w:tc>
          <w:tcPr>
            <w:tcW w:w="1361" w:type="dxa"/>
            <w:tcBorders>
              <w:top w:val="nil"/>
              <w:left w:val="nil"/>
              <w:bottom w:val="nil"/>
              <w:right w:val="nil"/>
            </w:tcBorders>
          </w:tcPr>
          <w:p w:rsidR="00F13C42" w:rsidRPr="00EB2BE7" w:rsidRDefault="00F13C42" w:rsidP="00E46085">
            <w:pPr>
              <w:pStyle w:val="ConsPlusNormal"/>
              <w:rPr>
                <w:rFonts w:ascii="Times New Roman" w:hAnsi="Times New Roman" w:cs="Times New Roman"/>
              </w:rPr>
            </w:pPr>
          </w:p>
        </w:tc>
        <w:tc>
          <w:tcPr>
            <w:tcW w:w="1020" w:type="dxa"/>
            <w:tcBorders>
              <w:top w:val="nil"/>
              <w:left w:val="nil"/>
              <w:bottom w:val="single" w:sz="4" w:space="0" w:color="auto"/>
              <w:right w:val="nil"/>
            </w:tcBorders>
          </w:tcPr>
          <w:p w:rsidR="00F13C42" w:rsidRPr="00EB2BE7" w:rsidRDefault="00F13C42" w:rsidP="00E46085">
            <w:pPr>
              <w:pStyle w:val="ConsPlusNormal"/>
              <w:rPr>
                <w:rFonts w:ascii="Times New Roman" w:hAnsi="Times New Roman" w:cs="Times New Roman"/>
              </w:rPr>
            </w:pPr>
          </w:p>
        </w:tc>
      </w:tr>
      <w:tr w:rsidR="00F13C42" w:rsidRPr="00EB2BE7" w:rsidTr="00F13C42">
        <w:tblPrEx>
          <w:tblBorders>
            <w:right w:val="single" w:sz="4" w:space="0" w:color="auto"/>
          </w:tblBorders>
        </w:tblPrEx>
        <w:tc>
          <w:tcPr>
            <w:tcW w:w="3855" w:type="dxa"/>
            <w:tcBorders>
              <w:top w:val="nil"/>
              <w:left w:val="nil"/>
              <w:bottom w:val="nil"/>
              <w:right w:val="nil"/>
            </w:tcBorders>
          </w:tcPr>
          <w:p w:rsidR="00F13C42" w:rsidRPr="00EB2BE7" w:rsidRDefault="00F13C42" w:rsidP="00E46085">
            <w:pPr>
              <w:pStyle w:val="ConsPlusNormal"/>
              <w:rPr>
                <w:rFonts w:ascii="Times New Roman" w:hAnsi="Times New Roman" w:cs="Times New Roman"/>
              </w:rPr>
            </w:pPr>
          </w:p>
        </w:tc>
        <w:tc>
          <w:tcPr>
            <w:tcW w:w="2778" w:type="dxa"/>
            <w:tcBorders>
              <w:top w:val="nil"/>
              <w:left w:val="nil"/>
              <w:bottom w:val="nil"/>
              <w:right w:val="nil"/>
            </w:tcBorders>
          </w:tcPr>
          <w:p w:rsidR="00F13C42" w:rsidRPr="00EB2BE7" w:rsidRDefault="00F13C42" w:rsidP="00E46085">
            <w:pPr>
              <w:pStyle w:val="ConsPlusNormal"/>
              <w:rPr>
                <w:rFonts w:ascii="Times New Roman" w:hAnsi="Times New Roman" w:cs="Times New Roman"/>
              </w:rPr>
            </w:pPr>
          </w:p>
        </w:tc>
        <w:tc>
          <w:tcPr>
            <w:tcW w:w="1361" w:type="dxa"/>
            <w:tcBorders>
              <w:top w:val="nil"/>
              <w:left w:val="nil"/>
              <w:bottom w:val="nil"/>
              <w:right w:val="single" w:sz="4" w:space="0" w:color="auto"/>
            </w:tcBorders>
          </w:tcPr>
          <w:p w:rsidR="00F13C42" w:rsidRPr="00EB2BE7" w:rsidRDefault="00F13C42" w:rsidP="00E46085">
            <w:pPr>
              <w:pStyle w:val="ConsPlusNormal"/>
              <w:rPr>
                <w:rFonts w:ascii="Times New Roman" w:hAnsi="Times New Roman" w:cs="Times New Roman"/>
              </w:rPr>
            </w:pPr>
          </w:p>
        </w:tc>
        <w:tc>
          <w:tcPr>
            <w:tcW w:w="1020" w:type="dxa"/>
            <w:tcBorders>
              <w:top w:val="single" w:sz="4" w:space="0" w:color="auto"/>
              <w:left w:val="single" w:sz="4" w:space="0" w:color="auto"/>
              <w:bottom w:val="single" w:sz="4" w:space="0" w:color="auto"/>
              <w:right w:val="single" w:sz="4" w:space="0" w:color="auto"/>
            </w:tcBorders>
            <w:vAlign w:val="bottom"/>
          </w:tcPr>
          <w:p w:rsidR="00F13C42" w:rsidRPr="00EB2BE7" w:rsidRDefault="00F13C42" w:rsidP="00F13C42">
            <w:pPr>
              <w:pStyle w:val="ConsPlusNormal"/>
              <w:jc w:val="center"/>
              <w:rPr>
                <w:rFonts w:ascii="Times New Roman" w:hAnsi="Times New Roman" w:cs="Times New Roman"/>
              </w:rPr>
            </w:pPr>
            <w:r w:rsidRPr="00EB2BE7">
              <w:rPr>
                <w:rFonts w:ascii="Times New Roman" w:hAnsi="Times New Roman" w:cs="Times New Roman"/>
              </w:rPr>
              <w:t>Коды</w:t>
            </w:r>
          </w:p>
        </w:tc>
      </w:tr>
      <w:tr w:rsidR="00F13C42" w:rsidRPr="00EB2BE7" w:rsidTr="008B4923">
        <w:tblPrEx>
          <w:tblBorders>
            <w:right w:val="single" w:sz="4" w:space="0" w:color="auto"/>
          </w:tblBorders>
        </w:tblPrEx>
        <w:tc>
          <w:tcPr>
            <w:tcW w:w="3855" w:type="dxa"/>
            <w:tcBorders>
              <w:top w:val="nil"/>
              <w:left w:val="nil"/>
              <w:bottom w:val="nil"/>
              <w:right w:val="nil"/>
            </w:tcBorders>
          </w:tcPr>
          <w:p w:rsidR="00F13C42" w:rsidRPr="00F13D14" w:rsidRDefault="00F13D14" w:rsidP="00E46085">
            <w:pPr>
              <w:pStyle w:val="ConsPlusNormal"/>
              <w:rPr>
                <w:rFonts w:ascii="Times New Roman" w:hAnsi="Times New Roman" w:cs="Times New Roman"/>
              </w:rPr>
            </w:pPr>
            <w:r>
              <w:rPr>
                <w:rFonts w:ascii="Times New Roman" w:hAnsi="Times New Roman" w:cs="Times New Roman"/>
              </w:rPr>
              <w:t>Полное наименование</w:t>
            </w:r>
            <w:r>
              <w:rPr>
                <w:rFonts w:ascii="Times New Roman" w:hAnsi="Times New Roman" w:cs="Times New Roman"/>
                <w:lang w:val="en-US"/>
              </w:rPr>
              <w:t>:</w:t>
            </w:r>
          </w:p>
        </w:tc>
        <w:tc>
          <w:tcPr>
            <w:tcW w:w="2778" w:type="dxa"/>
            <w:vMerge w:val="restart"/>
            <w:tcBorders>
              <w:top w:val="nil"/>
              <w:left w:val="nil"/>
              <w:right w:val="nil"/>
            </w:tcBorders>
          </w:tcPr>
          <w:p w:rsidR="00F13C42" w:rsidRPr="00EB2BE7" w:rsidRDefault="00F13D14" w:rsidP="00E46085">
            <w:pPr>
              <w:pStyle w:val="ConsPlusNormal"/>
              <w:rPr>
                <w:rFonts w:ascii="Times New Roman" w:hAnsi="Times New Roman" w:cs="Times New Roman"/>
              </w:rPr>
            </w:pPr>
            <w:r w:rsidRPr="00931A6B">
              <w:rPr>
                <w:rFonts w:ascii="Times New Roman" w:hAnsi="Times New Roman" w:cs="Times New Roman"/>
              </w:rPr>
              <w:t>УПРАВЛЕНИЕ БЛАГОУСТРОЙСТВА АДМИНИСТРАЦИИ БОГОРОДСКОГО ГОРОДСКОГО ОКРУГА МОСКОВСКОЙ ОБЛАСТИ</w:t>
            </w:r>
          </w:p>
        </w:tc>
        <w:tc>
          <w:tcPr>
            <w:tcW w:w="1361" w:type="dxa"/>
            <w:tcBorders>
              <w:top w:val="nil"/>
              <w:left w:val="nil"/>
              <w:bottom w:val="nil"/>
              <w:right w:val="single" w:sz="4" w:space="0" w:color="auto"/>
            </w:tcBorders>
            <w:vAlign w:val="bottom"/>
          </w:tcPr>
          <w:p w:rsidR="00F13C42" w:rsidRPr="00F13D14" w:rsidRDefault="00F13D14" w:rsidP="00F13C42">
            <w:pPr>
              <w:pStyle w:val="ConsPlusNormal"/>
              <w:jc w:val="center"/>
              <w:rPr>
                <w:rFonts w:ascii="Times New Roman" w:hAnsi="Times New Roman" w:cs="Times New Roman"/>
              </w:rPr>
            </w:pPr>
            <w:r>
              <w:rPr>
                <w:rFonts w:ascii="Times New Roman" w:hAnsi="Times New Roman" w:cs="Times New Roman"/>
              </w:rPr>
              <w:t>ИНН</w:t>
            </w:r>
          </w:p>
        </w:tc>
        <w:tc>
          <w:tcPr>
            <w:tcW w:w="1020" w:type="dxa"/>
            <w:tcBorders>
              <w:top w:val="single" w:sz="4" w:space="0" w:color="auto"/>
              <w:left w:val="single" w:sz="4" w:space="0" w:color="auto"/>
              <w:bottom w:val="single" w:sz="4" w:space="0" w:color="auto"/>
              <w:right w:val="single" w:sz="4" w:space="0" w:color="auto"/>
            </w:tcBorders>
          </w:tcPr>
          <w:p w:rsidR="00F13C42" w:rsidRPr="00E0201D" w:rsidRDefault="00F13D14" w:rsidP="00F13C42">
            <w:pPr>
              <w:pStyle w:val="ConsPlusNormal"/>
              <w:jc w:val="center"/>
              <w:rPr>
                <w:rFonts w:ascii="Times New Roman" w:hAnsi="Times New Roman" w:cs="Times New Roman"/>
              </w:rPr>
            </w:pPr>
            <w:r>
              <w:rPr>
                <w:rFonts w:ascii="Times New Roman" w:hAnsi="Times New Roman" w:cs="Times New Roman"/>
                <w:lang w:val="en-US"/>
              </w:rPr>
              <w:t>5031143953</w:t>
            </w:r>
          </w:p>
        </w:tc>
      </w:tr>
      <w:tr w:rsidR="00F13C42" w:rsidRPr="00EB2BE7" w:rsidTr="008B4923">
        <w:tblPrEx>
          <w:tblBorders>
            <w:right w:val="single" w:sz="4" w:space="0" w:color="auto"/>
          </w:tblBorders>
        </w:tblPrEx>
        <w:tc>
          <w:tcPr>
            <w:tcW w:w="3855" w:type="dxa"/>
            <w:tcBorders>
              <w:top w:val="nil"/>
              <w:left w:val="nil"/>
              <w:bottom w:val="nil"/>
              <w:right w:val="nil"/>
            </w:tcBorders>
          </w:tcPr>
          <w:p w:rsidR="00F13C42" w:rsidRPr="00EB2BE7" w:rsidRDefault="00F13C42" w:rsidP="00E46085">
            <w:pPr>
              <w:pStyle w:val="ConsPlusNormal"/>
              <w:rPr>
                <w:rFonts w:ascii="Times New Roman" w:hAnsi="Times New Roman" w:cs="Times New Roman"/>
              </w:rPr>
            </w:pPr>
          </w:p>
        </w:tc>
        <w:tc>
          <w:tcPr>
            <w:tcW w:w="2778" w:type="dxa"/>
            <w:vMerge/>
            <w:tcBorders>
              <w:left w:val="nil"/>
              <w:bottom w:val="single" w:sz="4" w:space="0" w:color="auto"/>
              <w:right w:val="nil"/>
            </w:tcBorders>
          </w:tcPr>
          <w:p w:rsidR="00F13C42" w:rsidRPr="00EB2BE7" w:rsidRDefault="00F13C42" w:rsidP="00E46085">
            <w:pPr>
              <w:pStyle w:val="ConsPlusNormal"/>
              <w:rPr>
                <w:rFonts w:ascii="Times New Roman" w:hAnsi="Times New Roman" w:cs="Times New Roman"/>
              </w:rPr>
            </w:pPr>
          </w:p>
        </w:tc>
        <w:tc>
          <w:tcPr>
            <w:tcW w:w="1361" w:type="dxa"/>
            <w:tcBorders>
              <w:top w:val="nil"/>
              <w:left w:val="nil"/>
              <w:bottom w:val="nil"/>
              <w:right w:val="single" w:sz="4" w:space="0" w:color="auto"/>
            </w:tcBorders>
            <w:vAlign w:val="bottom"/>
          </w:tcPr>
          <w:p w:rsidR="00F13C42" w:rsidRPr="00EB2BE7" w:rsidRDefault="00F13C42" w:rsidP="00F13C42">
            <w:pPr>
              <w:pStyle w:val="ConsPlusNormal"/>
              <w:jc w:val="center"/>
              <w:rPr>
                <w:rFonts w:ascii="Times New Roman" w:hAnsi="Times New Roman" w:cs="Times New Roman"/>
              </w:rPr>
            </w:pPr>
            <w:r w:rsidRPr="00EB2BE7">
              <w:rPr>
                <w:rFonts w:ascii="Times New Roman" w:hAnsi="Times New Roman" w:cs="Times New Roman"/>
              </w:rPr>
              <w:t>КПП</w:t>
            </w:r>
          </w:p>
        </w:tc>
        <w:tc>
          <w:tcPr>
            <w:tcW w:w="1020" w:type="dxa"/>
            <w:tcBorders>
              <w:top w:val="single" w:sz="4" w:space="0" w:color="auto"/>
              <w:left w:val="single" w:sz="4" w:space="0" w:color="auto"/>
              <w:bottom w:val="single" w:sz="4" w:space="0" w:color="auto"/>
              <w:right w:val="single" w:sz="4" w:space="0" w:color="auto"/>
            </w:tcBorders>
          </w:tcPr>
          <w:p w:rsidR="00F13C42" w:rsidRPr="00F13D14" w:rsidRDefault="00F13D14" w:rsidP="00F13C42">
            <w:pPr>
              <w:pStyle w:val="ConsPlusNormal"/>
              <w:jc w:val="center"/>
              <w:rPr>
                <w:rFonts w:ascii="Times New Roman" w:hAnsi="Times New Roman" w:cs="Times New Roman"/>
                <w:lang w:val="en-US"/>
              </w:rPr>
            </w:pPr>
            <w:r>
              <w:rPr>
                <w:rFonts w:ascii="Times New Roman" w:hAnsi="Times New Roman" w:cs="Times New Roman"/>
                <w:lang w:val="en-US"/>
              </w:rPr>
              <w:t>503101001</w:t>
            </w:r>
          </w:p>
        </w:tc>
      </w:tr>
      <w:tr w:rsidR="00F13C42" w:rsidRPr="00EB2BE7" w:rsidTr="00F13C42">
        <w:tblPrEx>
          <w:tblBorders>
            <w:right w:val="single" w:sz="4" w:space="0" w:color="auto"/>
          </w:tblBorders>
        </w:tblPrEx>
        <w:tc>
          <w:tcPr>
            <w:tcW w:w="3855" w:type="dxa"/>
            <w:tcBorders>
              <w:top w:val="nil"/>
              <w:left w:val="nil"/>
              <w:bottom w:val="nil"/>
              <w:right w:val="nil"/>
            </w:tcBorders>
          </w:tcPr>
          <w:p w:rsidR="00F13C42" w:rsidRPr="00EB2BE7" w:rsidRDefault="00F13C42" w:rsidP="00E46085">
            <w:pPr>
              <w:pStyle w:val="ConsPlusNormal"/>
              <w:rPr>
                <w:rFonts w:ascii="Times New Roman" w:hAnsi="Times New Roman" w:cs="Times New Roman"/>
              </w:rPr>
            </w:pPr>
            <w:r w:rsidRPr="00EB2BE7">
              <w:rPr>
                <w:rFonts w:ascii="Times New Roman" w:hAnsi="Times New Roman" w:cs="Times New Roman"/>
              </w:rPr>
              <w:t>Место нахождения, телефон, адрес электронной почты</w:t>
            </w:r>
          </w:p>
        </w:tc>
        <w:tc>
          <w:tcPr>
            <w:tcW w:w="2778" w:type="dxa"/>
            <w:tcBorders>
              <w:top w:val="single" w:sz="4" w:space="0" w:color="auto"/>
              <w:left w:val="nil"/>
              <w:bottom w:val="single" w:sz="4" w:space="0" w:color="auto"/>
              <w:right w:val="nil"/>
            </w:tcBorders>
          </w:tcPr>
          <w:p w:rsidR="00F13C42" w:rsidRPr="00931A6B" w:rsidRDefault="00B133AD" w:rsidP="00E46085">
            <w:pPr>
              <w:pStyle w:val="ConsPlusNormal"/>
              <w:rPr>
                <w:rFonts w:ascii="Times New Roman" w:hAnsi="Times New Roman" w:cs="Times New Roman"/>
              </w:rPr>
            </w:pPr>
            <w:r w:rsidRPr="00931A6B">
              <w:rPr>
                <w:rFonts w:ascii="Times New Roman" w:hAnsi="Times New Roman" w:cs="Times New Roman"/>
              </w:rPr>
              <w:t xml:space="preserve">Российская Федерация, 142400, Московская обл, УЛ СОВЕТСКАЯ, Д. 42 </w:t>
            </w:r>
            <w:r>
              <w:rPr>
                <w:rFonts w:ascii="Times New Roman" w:hAnsi="Times New Roman" w:cs="Times New Roman"/>
                <w:lang w:val="en-US"/>
              </w:rPr>
              <w:t>Starostin</w:t>
            </w:r>
            <w:r w:rsidRPr="00931A6B">
              <w:rPr>
                <w:rFonts w:ascii="Times New Roman" w:hAnsi="Times New Roman" w:cs="Times New Roman"/>
              </w:rPr>
              <w:t>.</w:t>
            </w:r>
            <w:r>
              <w:rPr>
                <w:rFonts w:ascii="Times New Roman" w:hAnsi="Times New Roman" w:cs="Times New Roman"/>
                <w:lang w:val="en-US"/>
              </w:rPr>
              <w:t>nik</w:t>
            </w:r>
            <w:r w:rsidRPr="00931A6B">
              <w:rPr>
                <w:rFonts w:ascii="Times New Roman" w:hAnsi="Times New Roman" w:cs="Times New Roman"/>
              </w:rPr>
              <w:t>98@</w:t>
            </w:r>
            <w:r>
              <w:rPr>
                <w:rFonts w:ascii="Times New Roman" w:hAnsi="Times New Roman" w:cs="Times New Roman"/>
                <w:lang w:val="en-US"/>
              </w:rPr>
              <w:t>mail</w:t>
            </w:r>
            <w:r w:rsidRPr="00931A6B">
              <w:rPr>
                <w:rFonts w:ascii="Times New Roman" w:hAnsi="Times New Roman" w:cs="Times New Roman"/>
              </w:rPr>
              <w:t>.</w:t>
            </w:r>
            <w:r>
              <w:rPr>
                <w:rFonts w:ascii="Times New Roman" w:hAnsi="Times New Roman" w:cs="Times New Roman"/>
                <w:lang w:val="en-US"/>
              </w:rPr>
              <w:t>ru</w:t>
            </w:r>
            <w:r w:rsidRPr="00931A6B">
              <w:rPr>
                <w:rFonts w:ascii="Times New Roman" w:hAnsi="Times New Roman" w:cs="Times New Roman"/>
              </w:rPr>
              <w:t xml:space="preserve"> 74965101039</w:t>
            </w:r>
          </w:p>
        </w:tc>
        <w:tc>
          <w:tcPr>
            <w:tcW w:w="1361" w:type="dxa"/>
            <w:tcBorders>
              <w:top w:val="nil"/>
              <w:left w:val="nil"/>
              <w:bottom w:val="nil"/>
              <w:right w:val="single" w:sz="4" w:space="0" w:color="auto"/>
            </w:tcBorders>
            <w:vAlign w:val="bottom"/>
          </w:tcPr>
          <w:p w:rsidR="00F13C42" w:rsidRPr="00041A98" w:rsidRDefault="00F13C42" w:rsidP="00F13C42">
            <w:pPr>
              <w:pStyle w:val="ConsPlusNormal"/>
              <w:jc w:val="center"/>
              <w:rPr>
                <w:rFonts w:ascii="Times New Roman" w:hAnsi="Times New Roman" w:cs="Times New Roman"/>
              </w:rPr>
            </w:pPr>
            <w:r w:rsidRPr="00041A98">
              <w:rPr>
                <w:rFonts w:ascii="Times New Roman" w:hAnsi="Times New Roman" w:cs="Times New Roman"/>
              </w:rPr>
              <w:t xml:space="preserve">по </w:t>
            </w:r>
            <w:hyperlink r:id="rId5" w:history="1">
              <w:r w:rsidRPr="00041A98">
                <w:rPr>
                  <w:rFonts w:ascii="Times New Roman" w:hAnsi="Times New Roman" w:cs="Times New Roman"/>
                </w:rPr>
                <w:t>ОКТМО</w:t>
              </w:r>
            </w:hyperlink>
          </w:p>
        </w:tc>
        <w:tc>
          <w:tcPr>
            <w:tcW w:w="1020" w:type="dxa"/>
            <w:tcBorders>
              <w:top w:val="single" w:sz="4" w:space="0" w:color="auto"/>
              <w:left w:val="single" w:sz="4" w:space="0" w:color="auto"/>
              <w:bottom w:val="single" w:sz="4" w:space="0" w:color="auto"/>
              <w:right w:val="single" w:sz="4" w:space="0" w:color="auto"/>
            </w:tcBorders>
          </w:tcPr>
          <w:p w:rsidR="00F13C42" w:rsidRPr="00F13D14" w:rsidRDefault="00F13D14" w:rsidP="00F13C42">
            <w:pPr>
              <w:pStyle w:val="ConsPlusNormal"/>
              <w:jc w:val="center"/>
              <w:rPr>
                <w:rFonts w:ascii="Times New Roman" w:hAnsi="Times New Roman" w:cs="Times New Roman"/>
                <w:lang w:val="en-US"/>
              </w:rPr>
            </w:pPr>
            <w:r>
              <w:rPr>
                <w:rFonts w:ascii="Times New Roman" w:hAnsi="Times New Roman" w:cs="Times New Roman"/>
                <w:lang w:val="en-US"/>
              </w:rPr>
              <w:t>46751000001</w:t>
            </w:r>
          </w:p>
        </w:tc>
      </w:tr>
      <w:tr w:rsidR="00F13C42" w:rsidRPr="00EB2BE7" w:rsidTr="00F13C42">
        <w:tblPrEx>
          <w:tblBorders>
            <w:right w:val="single" w:sz="4" w:space="0" w:color="auto"/>
          </w:tblBorders>
        </w:tblPrEx>
        <w:tc>
          <w:tcPr>
            <w:tcW w:w="3855" w:type="dxa"/>
            <w:tcBorders>
              <w:top w:val="nil"/>
              <w:left w:val="nil"/>
              <w:bottom w:val="nil"/>
              <w:right w:val="nil"/>
            </w:tcBorders>
          </w:tcPr>
          <w:p w:rsidR="00F13C42" w:rsidRPr="00C71EAC" w:rsidRDefault="00F13C42" w:rsidP="00E46085">
            <w:pPr>
              <w:pStyle w:val="ConsPlusNormal"/>
              <w:rPr>
                <w:rFonts w:ascii="Times New Roman" w:hAnsi="Times New Roman" w:cs="Times New Roman"/>
                <w:lang w:val="en-US"/>
              </w:rPr>
            </w:pPr>
          </w:p>
        </w:tc>
        <w:tc>
          <w:tcPr>
            <w:tcW w:w="2778" w:type="dxa"/>
            <w:tcBorders>
              <w:top w:val="single" w:sz="4" w:space="0" w:color="auto"/>
              <w:left w:val="nil"/>
              <w:bottom w:val="nil"/>
              <w:right w:val="nil"/>
            </w:tcBorders>
          </w:tcPr>
          <w:p w:rsidR="00F13C42" w:rsidRPr="00EB2BE7" w:rsidRDefault="00F13C42" w:rsidP="00E46085">
            <w:pPr>
              <w:pStyle w:val="ConsPlusNormal"/>
              <w:rPr>
                <w:rFonts w:ascii="Times New Roman" w:hAnsi="Times New Roman" w:cs="Times New Roman"/>
              </w:rPr>
            </w:pPr>
          </w:p>
        </w:tc>
        <w:tc>
          <w:tcPr>
            <w:tcW w:w="1361" w:type="dxa"/>
            <w:tcBorders>
              <w:top w:val="nil"/>
              <w:left w:val="nil"/>
              <w:bottom w:val="nil"/>
              <w:right w:val="single" w:sz="4" w:space="0" w:color="auto"/>
            </w:tcBorders>
            <w:vAlign w:val="bottom"/>
          </w:tcPr>
          <w:p w:rsidR="00F13C42" w:rsidRPr="00EB2BE7" w:rsidRDefault="00F13C42" w:rsidP="00F13C42">
            <w:pPr>
              <w:pStyle w:val="ConsPlusNormal"/>
              <w:jc w:val="center"/>
              <w:rPr>
                <w:rFonts w:ascii="Times New Roman" w:hAnsi="Times New Roman" w:cs="Times New Roman"/>
              </w:rPr>
            </w:pPr>
            <w:r w:rsidRPr="00EB2BE7">
              <w:rPr>
                <w:rFonts w:ascii="Times New Roman" w:hAnsi="Times New Roman" w:cs="Times New Roman"/>
              </w:rPr>
              <w:t>ИНН</w:t>
            </w:r>
          </w:p>
        </w:tc>
        <w:tc>
          <w:tcPr>
            <w:tcW w:w="1020" w:type="dxa"/>
            <w:tcBorders>
              <w:top w:val="single" w:sz="4" w:space="0" w:color="auto"/>
              <w:left w:val="single" w:sz="4" w:space="0" w:color="auto"/>
              <w:bottom w:val="single" w:sz="4" w:space="0" w:color="auto"/>
              <w:right w:val="single" w:sz="4" w:space="0" w:color="auto"/>
            </w:tcBorders>
          </w:tcPr>
          <w:p w:rsidR="00F13C42" w:rsidRPr="00F13D14" w:rsidRDefault="00F13C42" w:rsidP="00F13C42">
            <w:pPr>
              <w:pStyle w:val="ConsPlusNormal"/>
              <w:jc w:val="center"/>
              <w:rPr>
                <w:rFonts w:ascii="Times New Roman" w:hAnsi="Times New Roman" w:cs="Times New Roman"/>
                <w:lang w:val="en-US"/>
              </w:rPr>
            </w:pPr>
          </w:p>
        </w:tc>
      </w:tr>
      <w:tr w:rsidR="00F13C42" w:rsidRPr="00EB2BE7" w:rsidTr="00F13C42">
        <w:tblPrEx>
          <w:tblBorders>
            <w:right w:val="single" w:sz="4" w:space="0" w:color="auto"/>
          </w:tblBorders>
        </w:tblPrEx>
        <w:tc>
          <w:tcPr>
            <w:tcW w:w="3855" w:type="dxa"/>
            <w:tcBorders>
              <w:top w:val="nil"/>
              <w:left w:val="nil"/>
              <w:bottom w:val="nil"/>
              <w:right w:val="nil"/>
            </w:tcBorders>
          </w:tcPr>
          <w:p w:rsidR="00F13C42" w:rsidRPr="00EB2BE7" w:rsidRDefault="00F13C42" w:rsidP="00E46085">
            <w:pPr>
              <w:pStyle w:val="ConsPlusNormal"/>
              <w:rPr>
                <w:rFonts w:ascii="Times New Roman" w:hAnsi="Times New Roman" w:cs="Times New Roman"/>
              </w:rPr>
            </w:pPr>
            <w:r w:rsidRPr="00EB2BE7">
              <w:rPr>
                <w:rFonts w:ascii="Times New Roman" w:hAnsi="Times New Roman" w:cs="Times New Roman"/>
              </w:rPr>
              <w:t xml:space="preserve">Наименование бюджетного, автономного </w:t>
            </w:r>
            <w:proofErr w:type="gramStart"/>
            <w:r w:rsidRPr="00EB2BE7">
              <w:rPr>
                <w:rFonts w:ascii="Times New Roman" w:hAnsi="Times New Roman" w:cs="Times New Roman"/>
              </w:rPr>
              <w:t xml:space="preserve">учреждения </w:t>
            </w:r>
            <w:r w:rsidRPr="00C71EAC">
              <w:rPr>
                <w:rFonts w:ascii="Times New Roman" w:hAnsi="Times New Roman" w:cs="Times New Roman"/>
              </w:rPr>
              <w:t xml:space="preserve"> </w:t>
            </w:r>
            <w:r w:rsidRPr="00EB2BE7">
              <w:rPr>
                <w:rFonts w:ascii="Times New Roman" w:hAnsi="Times New Roman" w:cs="Times New Roman"/>
              </w:rPr>
              <w:t>государственного</w:t>
            </w:r>
            <w:proofErr w:type="gramEnd"/>
            <w:r w:rsidRPr="00EB2BE7">
              <w:rPr>
                <w:rFonts w:ascii="Times New Roman" w:hAnsi="Times New Roman" w:cs="Times New Roman"/>
              </w:rPr>
              <w:t xml:space="preserve">, муниципального унитарного предприятия, иного юридического лица, которому переданы полномочия государственного, муниципального заказчика </w:t>
            </w:r>
          </w:p>
        </w:tc>
        <w:tc>
          <w:tcPr>
            <w:tcW w:w="2778" w:type="dxa"/>
            <w:tcBorders>
              <w:top w:val="nil"/>
              <w:left w:val="nil"/>
              <w:bottom w:val="single" w:sz="4" w:space="0" w:color="auto"/>
              <w:right w:val="nil"/>
            </w:tcBorders>
          </w:tcPr>
          <w:p w:rsidR="00F13C42" w:rsidRPr="006B4A43" w:rsidRDefault="00F13C42" w:rsidP="00E46085">
            <w:pPr>
              <w:pStyle w:val="ConsPlusNormal"/>
              <w:rPr>
                <w:rFonts w:ascii="Times New Roman" w:hAnsi="Times New Roman" w:cs="Times New Roman"/>
              </w:rPr>
            </w:pPr>
          </w:p>
        </w:tc>
        <w:tc>
          <w:tcPr>
            <w:tcW w:w="1361" w:type="dxa"/>
            <w:tcBorders>
              <w:top w:val="nil"/>
              <w:left w:val="nil"/>
              <w:bottom w:val="nil"/>
              <w:right w:val="single" w:sz="4" w:space="0" w:color="auto"/>
            </w:tcBorders>
          </w:tcPr>
          <w:p w:rsidR="00F13C42" w:rsidRPr="00EB2BE7" w:rsidRDefault="00F13C42" w:rsidP="00F13C42">
            <w:pPr>
              <w:pStyle w:val="ConsPlusNormal"/>
              <w:jc w:val="center"/>
              <w:rPr>
                <w:rFonts w:ascii="Times New Roman" w:hAnsi="Times New Roman" w:cs="Times New Roman"/>
              </w:rPr>
            </w:pPr>
            <w:r w:rsidRPr="00EB2BE7">
              <w:rPr>
                <w:rFonts w:ascii="Times New Roman" w:hAnsi="Times New Roman" w:cs="Times New Roman"/>
              </w:rPr>
              <w:t>КПП</w:t>
            </w:r>
          </w:p>
        </w:tc>
        <w:tc>
          <w:tcPr>
            <w:tcW w:w="1020" w:type="dxa"/>
            <w:tcBorders>
              <w:top w:val="single" w:sz="4" w:space="0" w:color="auto"/>
              <w:left w:val="single" w:sz="4" w:space="0" w:color="auto"/>
              <w:bottom w:val="single" w:sz="4" w:space="0" w:color="auto"/>
              <w:right w:val="single" w:sz="4" w:space="0" w:color="auto"/>
            </w:tcBorders>
          </w:tcPr>
          <w:p w:rsidR="00F13C42" w:rsidRPr="00EB2BE7" w:rsidRDefault="00F13C42" w:rsidP="00E46085">
            <w:pPr>
              <w:pStyle w:val="ConsPlusNormal"/>
              <w:rPr>
                <w:rFonts w:ascii="Times New Roman" w:hAnsi="Times New Roman" w:cs="Times New Roman"/>
              </w:rPr>
            </w:pPr>
          </w:p>
        </w:tc>
      </w:tr>
      <w:tr w:rsidR="00F13C42" w:rsidRPr="00EB2BE7" w:rsidTr="00F13C42">
        <w:tblPrEx>
          <w:tblBorders>
            <w:right w:val="single" w:sz="4" w:space="0" w:color="auto"/>
            <w:insideH w:val="single" w:sz="4" w:space="0" w:color="auto"/>
          </w:tblBorders>
        </w:tblPrEx>
        <w:tc>
          <w:tcPr>
            <w:tcW w:w="3855" w:type="dxa"/>
            <w:tcBorders>
              <w:top w:val="nil"/>
              <w:left w:val="nil"/>
              <w:bottom w:val="nil"/>
              <w:right w:val="nil"/>
            </w:tcBorders>
          </w:tcPr>
          <w:p w:rsidR="00F13C42" w:rsidRPr="00EB2BE7" w:rsidRDefault="00F13C42" w:rsidP="00E46085">
            <w:pPr>
              <w:pStyle w:val="ConsPlusNormal"/>
              <w:rPr>
                <w:rFonts w:ascii="Times New Roman" w:hAnsi="Times New Roman" w:cs="Times New Roman"/>
              </w:rPr>
            </w:pPr>
            <w:r w:rsidRPr="00EB2BE7">
              <w:rPr>
                <w:rFonts w:ascii="Times New Roman" w:hAnsi="Times New Roman" w:cs="Times New Roman"/>
              </w:rPr>
              <w:t xml:space="preserve">Место нахождения, телефон, адрес электронной почты </w:t>
            </w:r>
          </w:p>
        </w:tc>
        <w:tc>
          <w:tcPr>
            <w:tcW w:w="2778" w:type="dxa"/>
            <w:tcBorders>
              <w:top w:val="single" w:sz="4" w:space="0" w:color="auto"/>
              <w:left w:val="nil"/>
              <w:bottom w:val="single" w:sz="4" w:space="0" w:color="auto"/>
              <w:right w:val="nil"/>
            </w:tcBorders>
          </w:tcPr>
          <w:p w:rsidR="00F13C42" w:rsidRPr="00EB2BE7" w:rsidRDefault="00F13C42" w:rsidP="00E46085">
            <w:pPr>
              <w:pStyle w:val="ConsPlusNormal"/>
              <w:rPr>
                <w:rFonts w:ascii="Times New Roman" w:hAnsi="Times New Roman" w:cs="Times New Roman"/>
              </w:rPr>
            </w:pPr>
          </w:p>
        </w:tc>
        <w:tc>
          <w:tcPr>
            <w:tcW w:w="1361" w:type="dxa"/>
            <w:tcBorders>
              <w:top w:val="nil"/>
              <w:left w:val="nil"/>
              <w:bottom w:val="single" w:sz="4" w:space="0" w:color="auto"/>
              <w:right w:val="single" w:sz="4" w:space="0" w:color="auto"/>
            </w:tcBorders>
            <w:vAlign w:val="bottom"/>
          </w:tcPr>
          <w:p w:rsidR="00F13C42" w:rsidRPr="00EB2BE7" w:rsidRDefault="00F13C42" w:rsidP="00F13C42">
            <w:pPr>
              <w:pStyle w:val="ConsPlusNormal"/>
              <w:jc w:val="center"/>
              <w:rPr>
                <w:rFonts w:ascii="Times New Roman" w:hAnsi="Times New Roman" w:cs="Times New Roman"/>
              </w:rPr>
            </w:pPr>
            <w:r w:rsidRPr="00041A98">
              <w:rPr>
                <w:rFonts w:ascii="Times New Roman" w:hAnsi="Times New Roman" w:cs="Times New Roman"/>
              </w:rPr>
              <w:t xml:space="preserve">по </w:t>
            </w:r>
            <w:hyperlink r:id="rId6" w:history="1">
              <w:r w:rsidRPr="00041A98">
                <w:rPr>
                  <w:rFonts w:ascii="Times New Roman" w:hAnsi="Times New Roman" w:cs="Times New Roman"/>
                </w:rPr>
                <w:t>ОКТМО</w:t>
              </w:r>
            </w:hyperlink>
          </w:p>
        </w:tc>
        <w:tc>
          <w:tcPr>
            <w:tcW w:w="1020" w:type="dxa"/>
            <w:tcBorders>
              <w:top w:val="single" w:sz="4" w:space="0" w:color="auto"/>
              <w:left w:val="single" w:sz="4" w:space="0" w:color="auto"/>
              <w:bottom w:val="single" w:sz="4" w:space="0" w:color="auto"/>
              <w:right w:val="single" w:sz="4" w:space="0" w:color="auto"/>
            </w:tcBorders>
          </w:tcPr>
          <w:p w:rsidR="00F13C42" w:rsidRPr="00C71EAC" w:rsidRDefault="00F13C42" w:rsidP="00E46085">
            <w:pPr>
              <w:pStyle w:val="ConsPlusNormal"/>
              <w:rPr>
                <w:rFonts w:ascii="Times New Roman" w:hAnsi="Times New Roman" w:cs="Times New Roman"/>
                <w:lang w:val="en-US"/>
              </w:rPr>
            </w:pPr>
          </w:p>
        </w:tc>
      </w:tr>
      <w:tr w:rsidR="000F3768" w:rsidRPr="00EB2BE7" w:rsidTr="00607802">
        <w:tblPrEx>
          <w:tblBorders>
            <w:right w:val="single" w:sz="4" w:space="0" w:color="auto"/>
            <w:insideH w:val="single" w:sz="4" w:space="0" w:color="auto"/>
          </w:tblBorders>
        </w:tblPrEx>
        <w:tc>
          <w:tcPr>
            <w:tcW w:w="3855" w:type="dxa"/>
            <w:tcBorders>
              <w:top w:val="nil"/>
              <w:left w:val="nil"/>
              <w:bottom w:val="nil"/>
              <w:right w:val="nil"/>
            </w:tcBorders>
            <w:vAlign w:val="bottom"/>
          </w:tcPr>
          <w:p w:rsidR="000F3768" w:rsidRPr="00EB2BE7" w:rsidRDefault="000F3768" w:rsidP="00E46085">
            <w:pPr>
              <w:pStyle w:val="ConsPlusNormal"/>
              <w:rPr>
                <w:rFonts w:ascii="Times New Roman" w:hAnsi="Times New Roman" w:cs="Times New Roman"/>
              </w:rPr>
            </w:pPr>
            <w:r w:rsidRPr="00EB2BE7">
              <w:rPr>
                <w:rFonts w:ascii="Times New Roman" w:hAnsi="Times New Roman" w:cs="Times New Roman"/>
              </w:rPr>
              <w:t>Наименование объекта закупки</w:t>
            </w:r>
          </w:p>
        </w:tc>
        <w:tc>
          <w:tcPr>
            <w:tcW w:w="5159" w:type="dxa"/>
            <w:gridSpan w:val="3"/>
            <w:tcBorders>
              <w:top w:val="single" w:sz="4" w:space="0" w:color="auto"/>
              <w:left w:val="nil"/>
              <w:bottom w:val="single" w:sz="4" w:space="0" w:color="auto"/>
              <w:right w:val="single" w:sz="4" w:space="0" w:color="auto"/>
            </w:tcBorders>
          </w:tcPr>
          <w:p w:rsidR="000F3768" w:rsidRPr="00EB2BE7" w:rsidRDefault="000F3768" w:rsidP="00E46085">
            <w:pPr>
              <w:pStyle w:val="ConsPlusNormal"/>
              <w:rPr>
                <w:rFonts w:ascii="Times New Roman" w:hAnsi="Times New Roman" w:cs="Times New Roman"/>
              </w:rPr>
            </w:pPr>
            <w:r w:rsidRPr="00931A6B">
              <w:rPr>
                <w:rFonts w:ascii="Times New Roman" w:hAnsi="Times New Roman" w:cs="Times New Roman"/>
              </w:rPr>
              <w:t xml:space="preserve">Выполнение работ по благоустройству общественной территории, в том числе по проектированию: "Московская область, Богородский городской округ, г. Ногинск, сквер ул. </w:t>
            </w:r>
            <w:r>
              <w:rPr>
                <w:rFonts w:ascii="Times New Roman" w:hAnsi="Times New Roman" w:cs="Times New Roman"/>
                <w:lang w:val="en-US"/>
              </w:rPr>
              <w:t>Текстилей 2/27"</w:t>
            </w:r>
          </w:p>
        </w:tc>
      </w:tr>
    </w:tbl>
    <w:p w:rsidR="00B72EB7" w:rsidRDefault="00B72EB7"/>
    <w:p w:rsidR="00B52256" w:rsidRPr="00EB2BE7" w:rsidRDefault="00B52256" w:rsidP="00F13C42">
      <w:pPr>
        <w:rPr>
          <w:rFonts w:ascii="Times New Roman" w:hAnsi="Times New Roman" w:cs="Times New Roman"/>
        </w:rPr>
        <w:sectPr w:rsidR="00B52256" w:rsidRPr="00EB2BE7" w:rsidSect="00CE5671">
          <w:pgSz w:w="11906" w:h="16838"/>
          <w:pgMar w:top="568" w:right="850" w:bottom="1134" w:left="1701" w:header="708" w:footer="708" w:gutter="0"/>
          <w:cols w:space="708"/>
          <w:docGrid w:linePitch="360"/>
        </w:sectPr>
      </w:pPr>
    </w:p>
    <w:p w:rsidR="00826A71" w:rsidRDefault="0036091C" w:rsidP="00826A71">
      <w:pPr>
        <w:spacing w:after="480"/>
        <w:jc w:val="center"/>
        <w:rPr>
          <w:rFonts w:ascii="Times New Roman" w:hAnsi="Times New Roman" w:cs="Times New Roman"/>
          <w:b/>
          <w:bCs/>
        </w:rPr>
      </w:pPr>
      <w:bookmarkStart w:id="1" w:name="GENERALTABLE"/>
      <w:bookmarkStart w:id="2" w:name="_Hlk107583158"/>
      <w:bookmarkEnd w:id="1"/>
      <w:r w:rsidRPr="001D12C4">
        <w:rPr>
          <w:rFonts w:ascii="Times New Roman" w:hAnsi="Times New Roman" w:cs="Times New Roman"/>
          <w:b/>
          <w:bCs/>
        </w:rPr>
        <w:lastRenderedPageBreak/>
        <w:t>II. Критерии и показатели оценки заявок на участие в закупке</w:t>
      </w:r>
      <w:bookmarkEnd w:id="2"/>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381"/>
        <w:gridCol w:w="2565"/>
        <w:gridCol w:w="1400"/>
        <w:gridCol w:w="1704"/>
        <w:gridCol w:w="1405"/>
        <w:gridCol w:w="1961"/>
        <w:gridCol w:w="2068"/>
        <w:gridCol w:w="3086"/>
      </w:tblGrid>
      <w:tr w:rsidR="00D333BD">
        <w:tc>
          <w:tcPr>
            <w:tcW w:w="0" w:type="auto"/>
          </w:tcPr>
          <w:p w:rsidR="00D333BD" w:rsidRDefault="00931A6B">
            <w:r>
              <w:rPr>
                <w:rFonts w:ascii="Times New Roman" w:eastAsia="Times New Roman" w:hAnsi="Times New Roman" w:cs="Times New Roman"/>
              </w:rPr>
              <w:t>N</w:t>
            </w:r>
          </w:p>
        </w:tc>
        <w:tc>
          <w:tcPr>
            <w:tcW w:w="0" w:type="auto"/>
          </w:tcPr>
          <w:p w:rsidR="00D333BD" w:rsidRDefault="00931A6B">
            <w:r>
              <w:rPr>
                <w:rFonts w:ascii="Times New Roman" w:eastAsia="Times New Roman" w:hAnsi="Times New Roman" w:cs="Times New Roman"/>
              </w:rPr>
              <w:t>Критерий оценки</w:t>
            </w:r>
          </w:p>
        </w:tc>
        <w:tc>
          <w:tcPr>
            <w:tcW w:w="0" w:type="auto"/>
          </w:tcPr>
          <w:p w:rsidR="00D333BD" w:rsidRDefault="00931A6B">
            <w:r>
              <w:rPr>
                <w:rFonts w:ascii="Times New Roman" w:eastAsia="Times New Roman" w:hAnsi="Times New Roman" w:cs="Times New Roman"/>
              </w:rPr>
              <w:t>Значимость критерия оценки, процентов</w:t>
            </w:r>
          </w:p>
        </w:tc>
        <w:tc>
          <w:tcPr>
            <w:tcW w:w="0" w:type="auto"/>
          </w:tcPr>
          <w:p w:rsidR="00D333BD" w:rsidRDefault="00931A6B">
            <w:r>
              <w:rPr>
                <w:rFonts w:ascii="Times New Roman" w:eastAsia="Times New Roman" w:hAnsi="Times New Roman" w:cs="Times New Roman"/>
              </w:rPr>
              <w:t>Показатель оценки</w:t>
            </w:r>
          </w:p>
        </w:tc>
        <w:tc>
          <w:tcPr>
            <w:tcW w:w="0" w:type="auto"/>
          </w:tcPr>
          <w:p w:rsidR="00D333BD" w:rsidRDefault="00931A6B">
            <w:r>
              <w:rPr>
                <w:rFonts w:ascii="Times New Roman" w:eastAsia="Times New Roman" w:hAnsi="Times New Roman" w:cs="Times New Roman"/>
              </w:rPr>
              <w:t>Значимость показателя оценки, процентов</w:t>
            </w:r>
          </w:p>
        </w:tc>
        <w:tc>
          <w:tcPr>
            <w:tcW w:w="0" w:type="auto"/>
          </w:tcPr>
          <w:p w:rsidR="00D333BD" w:rsidRDefault="00931A6B">
            <w:r>
              <w:rPr>
                <w:rFonts w:ascii="Times New Roman" w:eastAsia="Times New Roman" w:hAnsi="Times New Roman" w:cs="Times New Roman"/>
              </w:rPr>
              <w:t>Показатель оценки, детализирующий показатель оценки</w:t>
            </w:r>
          </w:p>
        </w:tc>
        <w:tc>
          <w:tcPr>
            <w:tcW w:w="0" w:type="auto"/>
          </w:tcPr>
          <w:p w:rsidR="00D333BD" w:rsidRDefault="00931A6B">
            <w:r>
              <w:rPr>
                <w:rFonts w:ascii="Times New Roman" w:eastAsia="Times New Roman" w:hAnsi="Times New Roman" w:cs="Times New Roman"/>
              </w:rPr>
              <w:t>Значимость показателя, детализирующего показатель оценки, процентов</w:t>
            </w:r>
          </w:p>
        </w:tc>
        <w:tc>
          <w:tcPr>
            <w:tcW w:w="0" w:type="auto"/>
          </w:tcPr>
          <w:p w:rsidR="00D333BD" w:rsidRDefault="00931A6B">
            <w:r>
              <w:rPr>
                <w:rFonts w:ascii="Times New Roman" w:eastAsia="Times New Roman" w:hAnsi="Times New Roman" w:cs="Times New Roman"/>
              </w:rPr>
              <w:t>Формула оценки</w:t>
            </w:r>
            <w:r>
              <w:rPr>
                <w:rFonts w:ascii="Times New Roman" w:eastAsia="Times New Roman" w:hAnsi="Times New Roman" w:cs="Times New Roman"/>
              </w:rPr>
              <w:t xml:space="preserve"> или шкала оценки</w:t>
            </w:r>
          </w:p>
        </w:tc>
      </w:tr>
      <w:tr w:rsidR="00D333BD">
        <w:tc>
          <w:tcPr>
            <w:tcW w:w="0" w:type="auto"/>
          </w:tcPr>
          <w:p w:rsidR="00D333BD" w:rsidRDefault="00931A6B">
            <w:r>
              <w:rPr>
                <w:rFonts w:ascii="Times New Roman" w:eastAsia="Times New Roman" w:hAnsi="Times New Roman" w:cs="Times New Roman"/>
              </w:rPr>
              <w:t>1.</w:t>
            </w:r>
          </w:p>
        </w:tc>
        <w:tc>
          <w:tcPr>
            <w:tcW w:w="0" w:type="auto"/>
          </w:tcPr>
          <w:p w:rsidR="00D333BD" w:rsidRDefault="00931A6B">
            <w:r>
              <w:rPr>
                <w:rFonts w:ascii="Times New Roman" w:eastAsia="Times New Roman" w:hAnsi="Times New Roman" w:cs="Times New Roman"/>
              </w:rPr>
              <w:t>Цена контракта, сумма цен единиц товара, работы, услуги</w:t>
            </w:r>
          </w:p>
        </w:tc>
        <w:tc>
          <w:tcPr>
            <w:tcW w:w="0" w:type="auto"/>
          </w:tcPr>
          <w:p w:rsidR="00D333BD" w:rsidRDefault="00931A6B">
            <w:r>
              <w:rPr>
                <w:rFonts w:ascii="Times New Roman" w:eastAsia="Times New Roman" w:hAnsi="Times New Roman" w:cs="Times New Roman"/>
              </w:rPr>
              <w:t>60,00</w:t>
            </w:r>
          </w:p>
        </w:tc>
        <w:tc>
          <w:tcPr>
            <w:tcW w:w="0" w:type="auto"/>
          </w:tcPr>
          <w:p w:rsidR="00D333BD" w:rsidRDefault="00931A6B">
            <w:r>
              <w:rPr>
                <w:rFonts w:ascii="Times New Roman" w:eastAsia="Times New Roman" w:hAnsi="Times New Roman" w:cs="Times New Roman"/>
              </w:rPr>
              <w:t>-</w:t>
            </w:r>
          </w:p>
        </w:tc>
        <w:tc>
          <w:tcPr>
            <w:tcW w:w="0" w:type="auto"/>
          </w:tcPr>
          <w:p w:rsidR="00D333BD" w:rsidRDefault="00931A6B">
            <w:r>
              <w:rPr>
                <w:rFonts w:ascii="Times New Roman" w:eastAsia="Times New Roman" w:hAnsi="Times New Roman" w:cs="Times New Roman"/>
              </w:rPr>
              <w:t>-</w:t>
            </w:r>
          </w:p>
        </w:tc>
        <w:tc>
          <w:tcPr>
            <w:tcW w:w="0" w:type="auto"/>
          </w:tcPr>
          <w:p w:rsidR="00D333BD" w:rsidRDefault="00931A6B">
            <w:r>
              <w:rPr>
                <w:rFonts w:ascii="Times New Roman" w:eastAsia="Times New Roman" w:hAnsi="Times New Roman" w:cs="Times New Roman"/>
              </w:rPr>
              <w:t>-</w:t>
            </w:r>
          </w:p>
        </w:tc>
        <w:tc>
          <w:tcPr>
            <w:tcW w:w="0" w:type="auto"/>
          </w:tcPr>
          <w:p w:rsidR="00D333BD" w:rsidRDefault="00931A6B">
            <w:r>
              <w:rPr>
                <w:rFonts w:ascii="Times New Roman" w:eastAsia="Times New Roman" w:hAnsi="Times New Roman" w:cs="Times New Roman"/>
              </w:rPr>
              <w:t>-</w:t>
            </w:r>
          </w:p>
        </w:tc>
        <w:tc>
          <w:tcPr>
            <w:tcW w:w="0" w:type="auto"/>
          </w:tcPr>
          <w:p w:rsidR="00D333BD" w:rsidRDefault="00931A6B">
            <w:r>
              <w:rPr>
                <w:rFonts w:ascii="Times New Roman" w:eastAsia="Times New Roman" w:hAnsi="Times New Roman" w:cs="Times New Roman"/>
              </w:rPr>
              <w:t>Оценка заявок осуществляется по одной из формул, предусмотренной пунктами 9 или 10 Положения об оценке заявок на участие в закупке товаров, работ, услуг для обеспечения государственных и муниципальных нужд, утвержденного постановлением Правительства Россий</w:t>
            </w:r>
            <w:r>
              <w:rPr>
                <w:rFonts w:ascii="Times New Roman" w:eastAsia="Times New Roman" w:hAnsi="Times New Roman" w:cs="Times New Roman"/>
              </w:rPr>
              <w:t xml:space="preserve">ской Федерации от 31 декабря 2021 г. N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w:t>
            </w:r>
            <w:r>
              <w:rPr>
                <w:rFonts w:ascii="Times New Roman" w:eastAsia="Times New Roman" w:hAnsi="Times New Roman" w:cs="Times New Roman"/>
              </w:rPr>
              <w:t>г. N 2369 и признании утратившими силу некоторых актов и отдельных положений некоторых актов Правительства Российской Федерации" (далее - Положение).</w:t>
            </w:r>
            <w:r>
              <w:rPr>
                <w:rFonts w:ascii="Times New Roman" w:eastAsia="Times New Roman" w:hAnsi="Times New Roman" w:cs="Times New Roman"/>
              </w:rPr>
              <w:br/>
            </w:r>
            <w:r>
              <w:rPr>
                <w:rFonts w:ascii="Times New Roman" w:eastAsia="Times New Roman" w:hAnsi="Times New Roman" w:cs="Times New Roman"/>
              </w:rPr>
              <w:br/>
            </w:r>
            <w:r>
              <w:rPr>
                <w:rFonts w:ascii="Times New Roman" w:eastAsia="Times New Roman" w:hAnsi="Times New Roman" w:cs="Times New Roman"/>
              </w:rPr>
              <w:lastRenderedPageBreak/>
              <w:t>а) за исключением случаев, предусмотренных подпунктом «б» пункта 9 Положения и пунктом 10 Положения, по ф</w:t>
            </w:r>
            <w:r>
              <w:rPr>
                <w:rFonts w:ascii="Times New Roman" w:eastAsia="Times New Roman" w:hAnsi="Times New Roman" w:cs="Times New Roman"/>
              </w:rPr>
              <w:t>ормуле:</w:t>
            </w:r>
            <w:r>
              <w:rPr>
                <w:rFonts w:ascii="Times New Roman" w:eastAsia="Times New Roman" w:hAnsi="Times New Roman" w:cs="Times New Roman"/>
              </w:rPr>
              <w:br/>
            </w:r>
          </w:p>
          <w:p w:rsidR="00D333BD" w:rsidRDefault="00931A6B">
            <m:oMathPara>
              <m:oMath>
                <m:sSub>
                  <m:sSubPr>
                    <m:ctrlPr>
                      <w:rPr>
                        <w:rFonts w:ascii="Cambria Math" w:hAnsi="Cambria Math"/>
                        <w:i/>
                      </w:rPr>
                    </m:ctrlPr>
                  </m:sSubPr>
                  <m:e>
                    <m:r>
                      <w:rPr>
                        <w:rFonts w:ascii="Cambria Math" w:hAnsi="Cambria Math"/>
                      </w:rPr>
                      <m:t>БЦ</m:t>
                    </m:r>
                  </m:e>
                  <m:sub>
                    <m:r>
                      <w:rPr>
                        <w:rFonts w:ascii="Cambria Math" w:hAnsi="Cambria Math"/>
                      </w:rPr>
                      <m:t>i</m:t>
                    </m:r>
                  </m:sub>
                </m:sSub>
                <m:r>
                  <w:rPr>
                    <w:rFonts w:ascii="Cambria Math" w:hAnsi="Cambria Math"/>
                  </w:rPr>
                  <m:t>=100-</m:t>
                </m:r>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Ц</m:t>
                            </m:r>
                          </m:e>
                          <m:sub>
                            <m:r>
                              <w:rPr>
                                <w:rFonts w:ascii="Cambria Math" w:hAnsi="Cambria Math"/>
                              </w:rPr>
                              <m:t>i</m:t>
                            </m:r>
                          </m:sub>
                        </m:sSub>
                        <m:r>
                          <w:rPr>
                            <w:rFonts w:ascii="Cambria Math" w:hAnsi="Cambria Math"/>
                          </w:rPr>
                          <m:t>-</m:t>
                        </m:r>
                        <m:r>
                          <w:rPr>
                            <w:rFonts w:ascii="Cambria Math" w:hAnsi="Cambria Math"/>
                          </w:rPr>
                          <m:t xml:space="preserve"> </m:t>
                        </m:r>
                        <m:sSub>
                          <m:sSubPr>
                            <m:ctrlPr>
                              <w:rPr>
                                <w:rFonts w:ascii="Cambria Math" w:hAnsi="Cambria Math"/>
                                <w:i/>
                              </w:rPr>
                            </m:ctrlPr>
                          </m:sSubPr>
                          <m:e>
                            <m:r>
                              <w:rPr>
                                <w:rFonts w:ascii="Cambria Math" w:hAnsi="Cambria Math"/>
                              </w:rPr>
                              <m:t>Ц</m:t>
                            </m:r>
                          </m:e>
                          <m:sub>
                            <m:r>
                              <w:rPr>
                                <w:rFonts w:ascii="Cambria Math" w:hAnsi="Cambria Math"/>
                              </w:rPr>
                              <m:t>л</m:t>
                            </m:r>
                          </m:sub>
                        </m:sSub>
                      </m:num>
                      <m:den>
                        <m:sSub>
                          <m:sSubPr>
                            <m:ctrlPr>
                              <w:rPr>
                                <w:rFonts w:ascii="Cambria Math" w:hAnsi="Cambria Math"/>
                                <w:i/>
                              </w:rPr>
                            </m:ctrlPr>
                          </m:sSubPr>
                          <m:e>
                            <m:r>
                              <w:rPr>
                                <w:rFonts w:ascii="Cambria Math" w:hAnsi="Cambria Math"/>
                              </w:rPr>
                              <m:t>Ц</m:t>
                            </m:r>
                          </m:e>
                          <m:sub>
                            <m:r>
                              <w:rPr>
                                <w:rFonts w:ascii="Cambria Math" w:hAnsi="Cambria Math"/>
                              </w:rPr>
                              <m:t>л</m:t>
                            </m:r>
                          </m:sub>
                        </m:sSub>
                      </m:den>
                    </m:f>
                  </m:e>
                </m:d>
                <m:r>
                  <w:rPr>
                    <w:rFonts w:ascii="Cambria Math" w:hAnsi="Cambria Math"/>
                  </w:rPr>
                  <m:t>*</m:t>
                </m:r>
                <m:r>
                  <w:rPr>
                    <w:rFonts w:ascii="Cambria Math" w:hAnsi="Cambria Math"/>
                  </w:rPr>
                  <m:t>100</m:t>
                </m:r>
              </m:oMath>
            </m:oMathPara>
          </w:p>
          <w:p w:rsidR="00D333BD" w:rsidRDefault="00931A6B">
            <w:r>
              <w:rPr>
                <w:rFonts w:ascii="Times New Roman" w:eastAsia="Times New Roman" w:hAnsi="Times New Roman" w:cs="Times New Roman"/>
              </w:rPr>
              <w:t>где:</w:t>
            </w:r>
            <w:r>
              <w:rPr>
                <w:rFonts w:ascii="Times New Roman" w:eastAsia="Times New Roman" w:hAnsi="Times New Roman" w:cs="Times New Roman"/>
              </w:rPr>
              <w:br/>
              <w:t>Цi - предложение участника закупки о цене контракта, или о сумме цен всех контрактов, заключаемых по результатам проведения совместного конкурса (в случае проведения совместного конкурса), или о сумме цен единиц товара,</w:t>
            </w:r>
            <w:r>
              <w:rPr>
                <w:rFonts w:ascii="Times New Roman" w:eastAsia="Times New Roman" w:hAnsi="Times New Roman" w:cs="Times New Roman"/>
              </w:rPr>
              <w:t xml:space="preserve"> работы, услуги (в случае, предусмотренном частью 24 статьи 22 Федерального закона №44-ФЗ, в том числе при проведении в этом случае совместного конкурса), заявка (часть заявки) которого подлежит в соответствии с Федеральным законом №44-ФЗ оценке по критери</w:t>
            </w:r>
            <w:r>
              <w:rPr>
                <w:rFonts w:ascii="Times New Roman" w:eastAsia="Times New Roman" w:hAnsi="Times New Roman" w:cs="Times New Roman"/>
              </w:rPr>
              <w:t>ю оценки "цена контракта, сумма цен единиц товара, работы, услуги" (далее - ценовое предложение);</w:t>
            </w:r>
            <w:r>
              <w:rPr>
                <w:rFonts w:ascii="Times New Roman" w:eastAsia="Times New Roman" w:hAnsi="Times New Roman" w:cs="Times New Roman"/>
              </w:rPr>
              <w:br/>
              <w:t xml:space="preserve">Цл - наилучшее ценовое предложение из числа предложенных в соответствии с Федеральным законом </w:t>
            </w:r>
            <w:r>
              <w:rPr>
                <w:rFonts w:ascii="Times New Roman" w:eastAsia="Times New Roman" w:hAnsi="Times New Roman" w:cs="Times New Roman"/>
              </w:rPr>
              <w:lastRenderedPageBreak/>
              <w:t>участниками закупки, заявки (части заявки) которых подлежат оцен</w:t>
            </w:r>
            <w:r>
              <w:rPr>
                <w:rFonts w:ascii="Times New Roman" w:eastAsia="Times New Roman" w:hAnsi="Times New Roman" w:cs="Times New Roman"/>
              </w:rPr>
              <w:t>ке по критерию оценки "цена контракта, сумма цен единиц товара, работы, услуги".</w:t>
            </w:r>
            <w:r>
              <w:rPr>
                <w:rFonts w:ascii="Times New Roman" w:eastAsia="Times New Roman" w:hAnsi="Times New Roman" w:cs="Times New Roman"/>
              </w:rPr>
              <w:br/>
            </w:r>
            <w:r>
              <w:rPr>
                <w:rFonts w:ascii="Times New Roman" w:eastAsia="Times New Roman" w:hAnsi="Times New Roman" w:cs="Times New Roman"/>
              </w:rPr>
              <w:br/>
              <w:t>б) в случае если по результатам применения формулы, предусмотренной подпунктом "а" пункта 9 Положения, при оценке хотя бы одной заявки получено значение, являющееся отрицател</w:t>
            </w:r>
            <w:r>
              <w:rPr>
                <w:rFonts w:ascii="Times New Roman" w:eastAsia="Times New Roman" w:hAnsi="Times New Roman" w:cs="Times New Roman"/>
              </w:rPr>
              <w:t xml:space="preserve">ьным числом, значение количества баллов по критерию оценки "цена контракта, сумма цен единиц товара, работы, услуги" всем заявкам, подлежащим в соответствии с Федеральным законом № 44-ФЗ оценке по указанному критерию оценки (БЦi), определяется по формуле: </w:t>
            </w:r>
            <w:r>
              <w:rPr>
                <w:rFonts w:ascii="Times New Roman" w:eastAsia="Times New Roman" w:hAnsi="Times New Roman" w:cs="Times New Roman"/>
              </w:rPr>
              <w:br/>
            </w:r>
          </w:p>
          <w:p w:rsidR="00D333BD" w:rsidRDefault="00931A6B">
            <m:oMathPara>
              <m:oMath>
                <m:r>
                  <w:rPr>
                    <w:rFonts w:ascii="Cambria Math" w:hAnsi="Cambria Math"/>
                    <w:sz w:val="24"/>
                    <w:szCs w:val="24"/>
                  </w:rPr>
                  <m:t>Б</m:t>
                </m:r>
                <m:sSub>
                  <m:sSubPr>
                    <m:ctrlPr>
                      <w:rPr>
                        <w:rFonts w:ascii="Cambria Math" w:hAnsi="Cambria Math"/>
                        <w:i/>
                        <w:sz w:val="24"/>
                        <w:szCs w:val="24"/>
                        <w:lang w:val="en-US"/>
                      </w:rPr>
                    </m:ctrlPr>
                  </m:sSubPr>
                  <m:e>
                    <m:r>
                      <w:rPr>
                        <w:rFonts w:ascii="Cambria Math" w:hAnsi="Cambria Math"/>
                        <w:sz w:val="24"/>
                        <w:szCs w:val="24"/>
                      </w:rPr>
                      <m:t>Ц</m:t>
                    </m:r>
                    <m:ctrlPr>
                      <w:rPr>
                        <w:rFonts w:ascii="Cambria Math" w:hAnsi="Cambria Math"/>
                        <w:i/>
                        <w:sz w:val="24"/>
                        <w:szCs w:val="24"/>
                      </w:rPr>
                    </m:ctrlPr>
                  </m:e>
                  <m:sub>
                    <m:r>
                      <w:rPr>
                        <w:rFonts w:ascii="Cambria Math" w:hAnsi="Cambria Math"/>
                        <w:sz w:val="24"/>
                        <w:szCs w:val="24"/>
                        <w:lang w:val="en-US"/>
                      </w:rPr>
                      <m:t>i</m:t>
                    </m:r>
                  </m:sub>
                </m:sSub>
                <m:r>
                  <w:rPr>
                    <w:rFonts w:ascii="Cambria Math" w:hAnsi="Cambria Math"/>
                    <w:sz w:val="24"/>
                    <w:szCs w:val="24"/>
                    <w:lang w:val="en-US"/>
                  </w:rPr>
                  <m:t>=</m:t>
                </m:r>
                <m:d>
                  <m:dPr>
                    <m:ctrlPr>
                      <w:rPr>
                        <w:rFonts w:ascii="Cambria Math" w:hAnsi="Cambria Math"/>
                        <w:i/>
                        <w:sz w:val="24"/>
                        <w:szCs w:val="24"/>
                        <w:lang w:val="en-US"/>
                      </w:rPr>
                    </m:ctrlPr>
                  </m:dPr>
                  <m:e>
                    <m:sSub>
                      <m:sSubPr>
                        <m:ctrlPr>
                          <w:rPr>
                            <w:rFonts w:ascii="Cambria Math" w:hAnsi="Cambria Math"/>
                            <w:i/>
                            <w:sz w:val="24"/>
                            <w:szCs w:val="24"/>
                          </w:rPr>
                        </m:ctrlPr>
                      </m:sSubPr>
                      <m:e>
                        <m:r>
                          <w:rPr>
                            <w:rFonts w:ascii="Cambria Math" w:hAnsi="Cambria Math"/>
                            <w:sz w:val="24"/>
                            <w:szCs w:val="24"/>
                          </w:rPr>
                          <m:t>Ц</m:t>
                        </m:r>
                        <m:ctrlPr>
                          <w:rPr>
                            <w:rFonts w:ascii="Cambria Math" w:hAnsi="Cambria Math"/>
                            <w:i/>
                            <w:sz w:val="24"/>
                            <w:szCs w:val="24"/>
                            <w:lang w:val="en-US"/>
                          </w:rPr>
                        </m:ctrlPr>
                      </m:e>
                      <m:sub>
                        <m:r>
                          <w:rPr>
                            <w:rFonts w:ascii="Cambria Math" w:hAnsi="Cambria Math"/>
                            <w:sz w:val="24"/>
                            <w:szCs w:val="24"/>
                          </w:rPr>
                          <m:t>нач</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Ц</m:t>
                        </m:r>
                      </m:e>
                      <m:sub>
                        <m:r>
                          <w:rPr>
                            <w:rFonts w:ascii="Cambria Math" w:hAnsi="Cambria Math"/>
                            <w:sz w:val="24"/>
                            <w:szCs w:val="24"/>
                            <w:lang w:val="en-US"/>
                          </w:rPr>
                          <m:t>i</m:t>
                        </m:r>
                      </m:sub>
                    </m:sSub>
                  </m:e>
                </m:d>
                <m:r>
                  <w:rPr>
                    <w:rFonts w:ascii="Cambria Math" w:hAnsi="Cambria Math"/>
                    <w:sz w:val="24"/>
                    <w:szCs w:val="24"/>
                    <w:lang w:val="en-US"/>
                  </w:rPr>
                  <m:t>*</m:t>
                </m:r>
                <m:f>
                  <m:fPr>
                    <m:ctrlPr>
                      <w:rPr>
                        <w:rFonts w:ascii="Cambria Math" w:hAnsi="Cambria Math"/>
                        <w:i/>
                        <w:sz w:val="24"/>
                        <w:szCs w:val="24"/>
                        <w:lang w:val="en-US"/>
                      </w:rPr>
                    </m:ctrlPr>
                  </m:fPr>
                  <m:num>
                    <m:r>
                      <w:rPr>
                        <w:rFonts w:ascii="Cambria Math" w:hAnsi="Cambria Math"/>
                        <w:sz w:val="24"/>
                        <w:szCs w:val="24"/>
                        <w:lang w:val="en-US"/>
                      </w:rPr>
                      <m:t>100</m:t>
                    </m:r>
                  </m:num>
                  <m:den>
                    <m:sSub>
                      <m:sSubPr>
                        <m:ctrlPr>
                          <w:rPr>
                            <w:rFonts w:ascii="Cambria Math" w:hAnsi="Cambria Math"/>
                            <w:i/>
                            <w:sz w:val="24"/>
                            <w:szCs w:val="24"/>
                          </w:rPr>
                        </m:ctrlPr>
                      </m:sSubPr>
                      <m:e>
                        <m:r>
                          <w:rPr>
                            <w:rFonts w:ascii="Cambria Math" w:hAnsi="Cambria Math"/>
                            <w:sz w:val="24"/>
                            <w:szCs w:val="24"/>
                          </w:rPr>
                          <m:t>Ц</m:t>
                        </m:r>
                      </m:e>
                      <m:sub>
                        <m:r>
                          <w:rPr>
                            <w:rFonts w:ascii="Cambria Math" w:hAnsi="Cambria Math"/>
                            <w:sz w:val="24"/>
                            <w:szCs w:val="24"/>
                          </w:rPr>
                          <m:t>нач</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Ц</m:t>
                        </m:r>
                      </m:e>
                      <m:sub>
                        <m:r>
                          <w:rPr>
                            <w:rFonts w:ascii="Cambria Math" w:hAnsi="Cambria Math"/>
                            <w:sz w:val="24"/>
                            <w:szCs w:val="24"/>
                          </w:rPr>
                          <m:t>л</m:t>
                        </m:r>
                      </m:sub>
                    </m:sSub>
                  </m:den>
                </m:f>
              </m:oMath>
            </m:oMathPara>
          </w:p>
          <w:p w:rsidR="00D333BD" w:rsidRDefault="00931A6B">
            <w:r>
              <w:rPr>
                <w:rFonts w:ascii="Times New Roman" w:eastAsia="Times New Roman" w:hAnsi="Times New Roman" w:cs="Times New Roman"/>
              </w:rPr>
              <w:t xml:space="preserve">где Цнач - начальная (максимальная) цена контракта, или сумма начальных (максимальных) цен каждого контракта, заключаемого по результатам проведения совместного </w:t>
            </w:r>
            <w:r>
              <w:rPr>
                <w:rFonts w:ascii="Times New Roman" w:eastAsia="Times New Roman" w:hAnsi="Times New Roman" w:cs="Times New Roman"/>
              </w:rPr>
              <w:lastRenderedPageBreak/>
              <w:t>конкурса (в случае проведения совместного конкурса), или начальная с</w:t>
            </w:r>
            <w:r>
              <w:rPr>
                <w:rFonts w:ascii="Times New Roman" w:eastAsia="Times New Roman" w:hAnsi="Times New Roman" w:cs="Times New Roman"/>
              </w:rPr>
              <w:t xml:space="preserve">умма цен единиц товаров, работ, услуг (в случае, предусмотренном частью 24 статьи 22 Федерального закона № 44-ФЗ, в том числе при проведении в таком случае совместного конкурса). </w:t>
            </w:r>
            <w:r>
              <w:rPr>
                <w:rFonts w:ascii="Times New Roman" w:eastAsia="Times New Roman" w:hAnsi="Times New Roman" w:cs="Times New Roman"/>
              </w:rPr>
              <w:br/>
            </w:r>
            <w:r>
              <w:rPr>
                <w:rFonts w:ascii="Times New Roman" w:eastAsia="Times New Roman" w:hAnsi="Times New Roman" w:cs="Times New Roman"/>
              </w:rPr>
              <w:br/>
              <w:t>Если при проведении процедуры подачи предложений о цене контракта либо о су</w:t>
            </w:r>
            <w:r>
              <w:rPr>
                <w:rFonts w:ascii="Times New Roman" w:eastAsia="Times New Roman" w:hAnsi="Times New Roman" w:cs="Times New Roman"/>
              </w:rPr>
              <w:t>мме цен единиц товара, работы, услуги (в случае, предусмотренном частью 24 статьи 22 Федерального закона №44-ФЗ) в соответствии с Федеральным законом подано ценовое предложение, предусматривающее снижение таких цены контракта либо суммы цен ниже нуля, знач</w:t>
            </w:r>
            <w:r>
              <w:rPr>
                <w:rFonts w:ascii="Times New Roman" w:eastAsia="Times New Roman" w:hAnsi="Times New Roman" w:cs="Times New Roman"/>
              </w:rPr>
              <w:t>ение количества баллов по критерию оценки "цена контракта, сумма цен единиц товара, работы, услуги" (БЦi) определяется в следующем порядке:</w:t>
            </w:r>
            <w:r>
              <w:rPr>
                <w:rFonts w:ascii="Times New Roman" w:eastAsia="Times New Roman" w:hAnsi="Times New Roman" w:cs="Times New Roman"/>
              </w:rPr>
              <w:br/>
            </w:r>
            <w:r>
              <w:rPr>
                <w:rFonts w:ascii="Times New Roman" w:eastAsia="Times New Roman" w:hAnsi="Times New Roman" w:cs="Times New Roman"/>
              </w:rPr>
              <w:br/>
              <w:t xml:space="preserve">а) для подлежащей в соответствии с Федеральным </w:t>
            </w:r>
            <w:r>
              <w:rPr>
                <w:rFonts w:ascii="Times New Roman" w:eastAsia="Times New Roman" w:hAnsi="Times New Roman" w:cs="Times New Roman"/>
              </w:rPr>
              <w:lastRenderedPageBreak/>
              <w:t xml:space="preserve">законом №44-ФЗ оценке заявки участника закупки, ценовое предложение </w:t>
            </w:r>
            <w:r>
              <w:rPr>
                <w:rFonts w:ascii="Times New Roman" w:eastAsia="Times New Roman" w:hAnsi="Times New Roman" w:cs="Times New Roman"/>
              </w:rPr>
              <w:t>которого не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(БЦi) определяется по формуле:</w:t>
            </w:r>
            <w:r>
              <w:rPr>
                <w:rFonts w:ascii="Times New Roman" w:eastAsia="Times New Roman" w:hAnsi="Times New Roman" w:cs="Times New Roman"/>
              </w:rPr>
              <w:br/>
            </w:r>
          </w:p>
          <w:p w:rsidR="00D333BD" w:rsidRDefault="00931A6B">
            <m:oMathPara>
              <m:oMath>
                <m:sSub>
                  <m:sSubPr>
                    <m:ctrlPr>
                      <w:rPr>
                        <w:rFonts w:ascii="Cambria Math" w:hAnsi="Cambria Math"/>
                        <w:i/>
                      </w:rPr>
                    </m:ctrlPr>
                  </m:sSubPr>
                  <m:e>
                    <m:r>
                      <w:rPr>
                        <w:rFonts w:ascii="Cambria Math" w:hAnsi="Cambria Math"/>
                      </w:rPr>
                      <m:t>БЦ</m:t>
                    </m:r>
                  </m:e>
                  <m:sub>
                    <m:r>
                      <w:rPr>
                        <w:rFonts w:ascii="Cambria Math" w:hAnsi="Cambria Math"/>
                      </w:rPr>
                      <m:t>i</m:t>
                    </m:r>
                  </m:sub>
                </m:sSub>
                <m:r>
                  <w:rPr>
                    <w:rFonts w:ascii="Cambria Math" w:hAnsi="Cambria Math"/>
                  </w:rPr>
                  <m:t>=100-</m:t>
                </m:r>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Ц</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Ц</m:t>
                            </m:r>
                          </m:e>
                          <m:sub>
                            <m:r>
                              <w:rPr>
                                <w:rFonts w:ascii="Cambria Math" w:hAnsi="Cambria Math"/>
                              </w:rPr>
                              <m:t>л</m:t>
                            </m:r>
                          </m:sub>
                        </m:sSub>
                      </m:num>
                      <m:den>
                        <m:sSub>
                          <m:sSubPr>
                            <m:ctrlPr>
                              <w:rPr>
                                <w:rFonts w:ascii="Cambria Math" w:hAnsi="Cambria Math"/>
                                <w:i/>
                              </w:rPr>
                            </m:ctrlPr>
                          </m:sSubPr>
                          <m:e>
                            <m:r>
                              <w:rPr>
                                <w:rFonts w:ascii="Cambria Math" w:hAnsi="Cambria Math"/>
                              </w:rPr>
                              <m:t>Ц</m:t>
                            </m:r>
                          </m:e>
                          <m:sub>
                            <m:r>
                              <w:rPr>
                                <w:rFonts w:ascii="Cambria Math" w:hAnsi="Cambria Math"/>
                              </w:rPr>
                              <m:t>нач</m:t>
                            </m:r>
                          </m:sub>
                        </m:sSub>
                        <m:r>
                          <w:rPr>
                            <w:rFonts w:ascii="Cambria Math" w:hAnsi="Cambria Math"/>
                          </w:rPr>
                          <m:t>+</m:t>
                        </m:r>
                        <m:sSub>
                          <m:sSubPr>
                            <m:ctrlPr>
                              <w:rPr>
                                <w:rFonts w:ascii="Cambria Math" w:hAnsi="Cambria Math"/>
                                <w:i/>
                              </w:rPr>
                            </m:ctrlPr>
                          </m:sSubPr>
                          <m:e>
                            <m:r>
                              <w:rPr>
                                <w:rFonts w:ascii="Cambria Math" w:hAnsi="Cambria Math"/>
                              </w:rPr>
                              <m:t>Ц</m:t>
                            </m:r>
                          </m:e>
                          <m:sub>
                            <m:r>
                              <w:rPr>
                                <w:rFonts w:ascii="Cambria Math" w:hAnsi="Cambria Math"/>
                              </w:rPr>
                              <m:t>л</m:t>
                            </m:r>
                          </m:sub>
                        </m:sSub>
                      </m:den>
                    </m:f>
                  </m:e>
                </m:d>
                <m:r>
                  <w:rPr>
                    <w:rFonts w:ascii="Cambria Math" w:hAnsi="Cambria Math"/>
                  </w:rPr>
                  <m:t>*</m:t>
                </m:r>
                <m:r>
                  <w:rPr>
                    <w:rFonts w:ascii="Cambria Math" w:hAnsi="Cambria Math"/>
                  </w:rPr>
                  <m:t>100</m:t>
                </m:r>
              </m:oMath>
            </m:oMathPara>
          </w:p>
          <w:p w:rsidR="00D333BD" w:rsidRDefault="00931A6B">
            <w:r>
              <w:rPr>
                <w:rFonts w:ascii="Times New Roman" w:eastAsia="Times New Roman" w:hAnsi="Times New Roman" w:cs="Times New Roman"/>
              </w:rPr>
              <w:t xml:space="preserve">б) для подлежащей в соответствии с Федеральным </w:t>
            </w:r>
            <w:proofErr w:type="gramStart"/>
            <w:r>
              <w:rPr>
                <w:rFonts w:ascii="Times New Roman" w:eastAsia="Times New Roman" w:hAnsi="Times New Roman" w:cs="Times New Roman"/>
              </w:rPr>
              <w:t>законом  №</w:t>
            </w:r>
            <w:proofErr w:type="gramEnd"/>
            <w:r>
              <w:rPr>
                <w:rFonts w:ascii="Times New Roman" w:eastAsia="Times New Roman" w:hAnsi="Times New Roman" w:cs="Times New Roman"/>
              </w:rPr>
              <w:t>44-ФЗ оценке заявки участника закупки, ценовое предложение которого предусматривает снижение цены контракта либо суммы цен ниже нуля, по критерию оценки "цена контракта, сумма цен един</w:t>
            </w:r>
            <w:r>
              <w:rPr>
                <w:rFonts w:ascii="Times New Roman" w:eastAsia="Times New Roman" w:hAnsi="Times New Roman" w:cs="Times New Roman"/>
              </w:rPr>
              <w:t>иц товара, работы, услуги" значение количества баллов по указанному критерию оценки (БЦi) определяется по формуле:</w:t>
            </w:r>
          </w:p>
          <w:p w:rsidR="00D333BD" w:rsidRDefault="00931A6B">
            <m:oMathPara>
              <m:oMath>
                <m:sSub>
                  <m:sSubPr>
                    <m:ctrlPr>
                      <w:rPr>
                        <w:rFonts w:ascii="Cambria Math" w:hAnsi="Cambria Math"/>
                        <w:i/>
                      </w:rPr>
                    </m:ctrlPr>
                  </m:sSubPr>
                  <m:e>
                    <m:r>
                      <w:rPr>
                        <w:rFonts w:ascii="Cambria Math" w:hAnsi="Cambria Math"/>
                      </w:rPr>
                      <m:t>БЦ</m:t>
                    </m:r>
                  </m:e>
                  <m:sub>
                    <m:r>
                      <w:rPr>
                        <w:rFonts w:ascii="Cambria Math" w:hAnsi="Cambria Math"/>
                      </w:rPr>
                      <m:t>i</m:t>
                    </m:r>
                  </m:sub>
                </m:sSub>
                <m:r>
                  <w:rPr>
                    <w:rFonts w:ascii="Cambria Math" w:hAnsi="Cambria Math"/>
                  </w:rPr>
                  <m:t>=100-</m:t>
                </m:r>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Ц</m:t>
                            </m:r>
                          </m:e>
                          <m:sub>
                            <m:r>
                              <w:rPr>
                                <w:rFonts w:ascii="Cambria Math" w:hAnsi="Cambria Math"/>
                              </w:rPr>
                              <m:t>л</m:t>
                            </m:r>
                          </m:sub>
                        </m:sSub>
                        <m:r>
                          <w:rPr>
                            <w:rFonts w:ascii="Cambria Math" w:hAnsi="Cambria Math"/>
                          </w:rPr>
                          <m:t>-</m:t>
                        </m:r>
                        <m:sSub>
                          <m:sSubPr>
                            <m:ctrlPr>
                              <w:rPr>
                                <w:rFonts w:ascii="Cambria Math" w:hAnsi="Cambria Math"/>
                                <w:i/>
                              </w:rPr>
                            </m:ctrlPr>
                          </m:sSubPr>
                          <m:e>
                            <m:r>
                              <w:rPr>
                                <w:rFonts w:ascii="Cambria Math" w:hAnsi="Cambria Math"/>
                              </w:rPr>
                              <m:t>Ц</m:t>
                            </m:r>
                          </m:e>
                          <m:sub>
                            <m:r>
                              <w:rPr>
                                <w:rFonts w:ascii="Cambria Math" w:hAnsi="Cambria Math"/>
                              </w:rPr>
                              <m:t>i</m:t>
                            </m:r>
                          </m:sub>
                        </m:sSub>
                      </m:num>
                      <m:den>
                        <m:sSub>
                          <m:sSubPr>
                            <m:ctrlPr>
                              <w:rPr>
                                <w:rFonts w:ascii="Cambria Math" w:hAnsi="Cambria Math"/>
                                <w:i/>
                              </w:rPr>
                            </m:ctrlPr>
                          </m:sSubPr>
                          <m:e>
                            <m:r>
                              <w:rPr>
                                <w:rFonts w:ascii="Cambria Math" w:hAnsi="Cambria Math"/>
                              </w:rPr>
                              <m:t>Ц</m:t>
                            </m:r>
                          </m:e>
                          <m:sub>
                            <m:r>
                              <w:rPr>
                                <w:rFonts w:ascii="Cambria Math" w:hAnsi="Cambria Math"/>
                              </w:rPr>
                              <m:t>нач</m:t>
                            </m:r>
                          </m:sub>
                        </m:sSub>
                        <m:r>
                          <w:rPr>
                            <w:rFonts w:ascii="Cambria Math" w:hAnsi="Cambria Math"/>
                          </w:rPr>
                          <m:t>+</m:t>
                        </m:r>
                        <m:sSub>
                          <m:sSubPr>
                            <m:ctrlPr>
                              <w:rPr>
                                <w:rFonts w:ascii="Cambria Math" w:hAnsi="Cambria Math"/>
                                <w:i/>
                              </w:rPr>
                            </m:ctrlPr>
                          </m:sSubPr>
                          <m:e>
                            <m:r>
                              <w:rPr>
                                <w:rFonts w:ascii="Cambria Math" w:hAnsi="Cambria Math"/>
                              </w:rPr>
                              <m:t>Ц</m:t>
                            </m:r>
                          </m:e>
                          <m:sub>
                            <m:r>
                              <w:rPr>
                                <w:rFonts w:ascii="Cambria Math" w:hAnsi="Cambria Math"/>
                              </w:rPr>
                              <m:t>л</m:t>
                            </m:r>
                          </m:sub>
                        </m:sSub>
                      </m:den>
                    </m:f>
                  </m:e>
                </m:d>
                <m:r>
                  <w:rPr>
                    <w:rFonts w:ascii="Cambria Math" w:hAnsi="Cambria Math"/>
                  </w:rPr>
                  <m:t>*</m:t>
                </m:r>
                <m:r>
                  <w:rPr>
                    <w:rFonts w:ascii="Cambria Math" w:hAnsi="Cambria Math"/>
                  </w:rPr>
                  <m:t>100</m:t>
                </m:r>
              </m:oMath>
            </m:oMathPara>
          </w:p>
        </w:tc>
      </w:tr>
      <w:tr w:rsidR="00D333BD">
        <w:tc>
          <w:tcPr>
            <w:tcW w:w="0" w:type="auto"/>
          </w:tcPr>
          <w:p w:rsidR="00D333BD" w:rsidRDefault="00931A6B">
            <w:r>
              <w:rPr>
                <w:rFonts w:ascii="Times New Roman" w:eastAsia="Times New Roman" w:hAnsi="Times New Roman" w:cs="Times New Roman"/>
              </w:rPr>
              <w:lastRenderedPageBreak/>
              <w:t>4.</w:t>
            </w:r>
          </w:p>
        </w:tc>
        <w:tc>
          <w:tcPr>
            <w:tcW w:w="0" w:type="auto"/>
          </w:tcPr>
          <w:p w:rsidR="00D333BD" w:rsidRDefault="00931A6B">
            <w:r>
              <w:rPr>
                <w:rFonts w:ascii="Times New Roman" w:eastAsia="Times New Roman" w:hAnsi="Times New Roman" w:cs="Times New Roman"/>
              </w:rPr>
              <w:t>Квалификация участников закупки, в том числе наличие у них финансовых ресурсов, на праве собственности или ино</w:t>
            </w:r>
            <w:r>
              <w:rPr>
                <w:rFonts w:ascii="Times New Roman" w:eastAsia="Times New Roman" w:hAnsi="Times New Roman" w:cs="Times New Roman"/>
              </w:rPr>
              <w:t>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tc>
        <w:tc>
          <w:tcPr>
            <w:tcW w:w="0" w:type="auto"/>
          </w:tcPr>
          <w:p w:rsidR="00D333BD" w:rsidRDefault="00931A6B">
            <w:r>
              <w:rPr>
                <w:rFonts w:ascii="Times New Roman" w:eastAsia="Times New Roman" w:hAnsi="Times New Roman" w:cs="Times New Roman"/>
              </w:rPr>
              <w:t>40,00</w:t>
            </w:r>
          </w:p>
        </w:tc>
        <w:tc>
          <w:tcPr>
            <w:tcW w:w="0" w:type="auto"/>
            <w:vMerge w:val="restart"/>
          </w:tcPr>
          <w:p w:rsidR="00D333BD" w:rsidRDefault="00931A6B">
            <w:r>
              <w:rPr>
                <w:rFonts w:ascii="Times New Roman" w:eastAsia="Times New Roman" w:hAnsi="Times New Roman" w:cs="Times New Roman"/>
              </w:rPr>
              <w:t>Наличие у участников закупки опыта поставки товара</w:t>
            </w:r>
            <w:r>
              <w:rPr>
                <w:rFonts w:ascii="Times New Roman" w:eastAsia="Times New Roman" w:hAnsi="Times New Roman" w:cs="Times New Roman"/>
              </w:rPr>
              <w:t>, выполнения работы, оказания услуги, связанного с предметом контракта</w:t>
            </w:r>
            <w:r>
              <w:rPr>
                <w:rFonts w:ascii="Times New Roman" w:eastAsia="Times New Roman" w:hAnsi="Times New Roman" w:cs="Times New Roman"/>
              </w:rPr>
              <w:br/>
            </w:r>
          </w:p>
        </w:tc>
        <w:tc>
          <w:tcPr>
            <w:tcW w:w="0" w:type="auto"/>
            <w:vMerge w:val="restart"/>
          </w:tcPr>
          <w:p w:rsidR="00D333BD" w:rsidRDefault="00931A6B">
            <w:r>
              <w:rPr>
                <w:rFonts w:ascii="Times New Roman" w:eastAsia="Times New Roman" w:hAnsi="Times New Roman" w:cs="Times New Roman"/>
              </w:rPr>
              <w:t>100,00</w:t>
            </w:r>
          </w:p>
        </w:tc>
        <w:tc>
          <w:tcPr>
            <w:tcW w:w="0" w:type="auto"/>
          </w:tcPr>
          <w:p w:rsidR="00D333BD" w:rsidRDefault="00931A6B">
            <w:r>
              <w:rPr>
                <w:rFonts w:ascii="Times New Roman" w:eastAsia="Times New Roman" w:hAnsi="Times New Roman" w:cs="Times New Roman"/>
              </w:rPr>
              <w:t>Характеристика квалификации участников закупки N 1</w:t>
            </w:r>
            <w:r>
              <w:rPr>
                <w:rFonts w:ascii="Times New Roman" w:eastAsia="Times New Roman" w:hAnsi="Times New Roman" w:cs="Times New Roman"/>
              </w:rPr>
              <w:br/>
              <w:t>Общая цена исполненных участником закупки договоров</w:t>
            </w:r>
          </w:p>
        </w:tc>
        <w:tc>
          <w:tcPr>
            <w:tcW w:w="0" w:type="auto"/>
          </w:tcPr>
          <w:p w:rsidR="00D333BD" w:rsidRDefault="00931A6B">
            <w:r>
              <w:rPr>
                <w:rFonts w:ascii="Times New Roman" w:eastAsia="Times New Roman" w:hAnsi="Times New Roman" w:cs="Times New Roman"/>
              </w:rPr>
              <w:t>100,00</w:t>
            </w:r>
          </w:p>
        </w:tc>
        <w:tc>
          <w:tcPr>
            <w:tcW w:w="0" w:type="auto"/>
          </w:tcPr>
          <w:p w:rsidR="00D333BD" w:rsidRDefault="00931A6B">
            <w:r>
              <w:rPr>
                <w:rFonts w:ascii="Times New Roman" w:eastAsia="Times New Roman" w:hAnsi="Times New Roman" w:cs="Times New Roman"/>
              </w:rPr>
              <w:t>Лучшим является наибольшее значение характеристики, указанной в графе «Показатель оценки, детализирующий показатель оценки» настоящей строки, оценка заявок осуществляется по формуле, предусмотренной подпунктом «б» пункта 20 Положения:</w:t>
            </w:r>
          </w:p>
          <w:p w:rsidR="00D333BD" w:rsidRDefault="00931A6B">
            <m:oMathPara>
              <m:oMath>
                <m:sSub>
                  <m:sSubPr>
                    <m:ctrlPr>
                      <w:rPr>
                        <w:rFonts w:ascii="Cambria Math" w:hAnsi="Cambria Math"/>
                        <w:i/>
                      </w:rPr>
                    </m:ctrlPr>
                  </m:sSubPr>
                  <m:e>
                    <m:r>
                      <w:rPr>
                        <w:rFonts w:ascii="Cambria Math" w:hAnsi="Cambria Math"/>
                      </w:rPr>
                      <m:t>БХ</m:t>
                    </m:r>
                  </m:e>
                  <m:sub>
                    <m:r>
                      <w:rPr>
                        <w:rFonts w:ascii="Cambria Math" w:hAnsi="Cambria Math"/>
                      </w:rPr>
                      <m:t>i</m:t>
                    </m:r>
                  </m:sub>
                </m:sSub>
                <m:r>
                  <w:rPr>
                    <w:rFonts w:ascii="Cambria Math" w:hAnsi="Cambria Math"/>
                  </w:rPr>
                  <m:t xml:space="preserve">= </m:t>
                </m:r>
                <m:d>
                  <m:dPr>
                    <m:ctrlPr>
                      <w:rPr>
                        <w:rFonts w:ascii="Cambria Math" w:hAnsi="Cambria Math"/>
                        <w:i/>
                      </w:rPr>
                    </m:ctrlPr>
                  </m:dPr>
                  <m:e>
                    <m:sSub>
                      <m:sSubPr>
                        <m:ctrlPr>
                          <w:rPr>
                            <w:rFonts w:ascii="Cambria Math" w:hAnsi="Cambria Math"/>
                            <w:i/>
                          </w:rPr>
                        </m:ctrlPr>
                      </m:sSubPr>
                      <m:e>
                        <m:r>
                          <w:rPr>
                            <w:rFonts w:ascii="Cambria Math" w:hAnsi="Cambria Math"/>
                          </w:rPr>
                          <m:t>Х</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Х</m:t>
                        </m:r>
                      </m:e>
                      <m:sub>
                        <m:r>
                          <w:rPr>
                            <w:rFonts w:ascii="Cambria Math" w:hAnsi="Cambria Math"/>
                          </w:rPr>
                          <m:t>min</m:t>
                        </m:r>
                      </m:sub>
                    </m:sSub>
                  </m:e>
                </m:d>
                <m:r>
                  <w:rPr>
                    <w:rFonts w:ascii="Cambria Math" w:hAnsi="Cambria Math"/>
                  </w:rPr>
                  <m:t>*</m:t>
                </m:r>
                <m:f>
                  <m:fPr>
                    <m:ctrlPr>
                      <w:rPr>
                        <w:rFonts w:ascii="Cambria Math" w:hAnsi="Cambria Math"/>
                        <w:i/>
                      </w:rPr>
                    </m:ctrlPr>
                  </m:fPr>
                  <m:num>
                    <m:r>
                      <w:rPr>
                        <w:rFonts w:ascii="Cambria Math" w:hAnsi="Cambria Math"/>
                      </w:rPr>
                      <m:t>100</m:t>
                    </m:r>
                  </m:num>
                  <m:den>
                    <m:sSub>
                      <m:sSubPr>
                        <m:ctrlPr>
                          <w:rPr>
                            <w:rFonts w:ascii="Cambria Math" w:hAnsi="Cambria Math"/>
                            <w:i/>
                          </w:rPr>
                        </m:ctrlPr>
                      </m:sSubPr>
                      <m:e>
                        <m:r>
                          <w:rPr>
                            <w:rFonts w:ascii="Cambria Math" w:hAnsi="Cambria Math"/>
                          </w:rPr>
                          <m:t>Х</m:t>
                        </m:r>
                      </m:e>
                      <m:sub>
                        <m:r>
                          <w:rPr>
                            <w:rFonts w:ascii="Cambria Math" w:hAnsi="Cambria Math"/>
                          </w:rPr>
                          <m:t>max</m:t>
                        </m:r>
                      </m:sub>
                    </m:sSub>
                    <m:r>
                      <w:rPr>
                        <w:rFonts w:ascii="Cambria Math" w:hAnsi="Cambria Math"/>
                      </w:rPr>
                      <m:t>-</m:t>
                    </m:r>
                    <m:sSub>
                      <m:sSubPr>
                        <m:ctrlPr>
                          <w:rPr>
                            <w:rFonts w:ascii="Cambria Math" w:hAnsi="Cambria Math"/>
                            <w:i/>
                          </w:rPr>
                        </m:ctrlPr>
                      </m:sSubPr>
                      <m:e>
                        <m:r>
                          <w:rPr>
                            <w:rFonts w:ascii="Cambria Math" w:hAnsi="Cambria Math"/>
                          </w:rPr>
                          <m:t>Х</m:t>
                        </m:r>
                      </m:e>
                      <m:sub>
                        <m:r>
                          <w:rPr>
                            <w:rFonts w:ascii="Cambria Math" w:hAnsi="Cambria Math"/>
                          </w:rPr>
                          <m:t>min</m:t>
                        </m:r>
                      </m:sub>
                    </m:sSub>
                  </m:den>
                </m:f>
              </m:oMath>
            </m:oMathPara>
          </w:p>
          <w:p w:rsidR="00D333BD" w:rsidRDefault="00931A6B">
            <w:r>
              <w:rPr>
                <w:rFonts w:ascii="Times New Roman" w:eastAsia="Times New Roman" w:hAnsi="Times New Roman" w:cs="Times New Roman"/>
              </w:rPr>
              <w:t>где:</w:t>
            </w:r>
          </w:p>
          <w:p w:rsidR="00D333BD" w:rsidRDefault="00931A6B">
            <w:r>
              <w:rPr>
                <w:rFonts w:ascii="Times New Roman" w:eastAsia="Times New Roman" w:hAnsi="Times New Roman" w:cs="Times New Roman"/>
              </w:rPr>
              <w:t>Хmax - максимальное значение характеристики, содержащееся в заявках (частях заявок), подлежащих в соответствии с Федеральным законом оценке по критерию оценки "квалификация участников закупки";</w:t>
            </w:r>
          </w:p>
          <w:p w:rsidR="00D333BD" w:rsidRDefault="00931A6B">
            <w:r>
              <w:rPr>
                <w:rFonts w:ascii="Times New Roman" w:eastAsia="Times New Roman" w:hAnsi="Times New Roman" w:cs="Times New Roman"/>
              </w:rPr>
              <w:t>Хi - значение характеристики, содержащеес</w:t>
            </w:r>
            <w:r>
              <w:rPr>
                <w:rFonts w:ascii="Times New Roman" w:eastAsia="Times New Roman" w:hAnsi="Times New Roman" w:cs="Times New Roman"/>
              </w:rPr>
              <w:t>я в предложении участника закупки, заявка (часть заявки) которого подлежит в соответствии с Федеральным законом оценке по критерию оценки "квалификация участников закупки";</w:t>
            </w:r>
          </w:p>
          <w:p w:rsidR="00D333BD" w:rsidRDefault="00931A6B">
            <w:r>
              <w:rPr>
                <w:rFonts w:ascii="Times New Roman" w:eastAsia="Times New Roman" w:hAnsi="Times New Roman" w:cs="Times New Roman"/>
              </w:rPr>
              <w:t xml:space="preserve">Хmin - минимальное значение характеристики, </w:t>
            </w:r>
            <w:r>
              <w:rPr>
                <w:rFonts w:ascii="Times New Roman" w:eastAsia="Times New Roman" w:hAnsi="Times New Roman" w:cs="Times New Roman"/>
              </w:rPr>
              <w:lastRenderedPageBreak/>
              <w:t>содержащееся в заявках (частях заявок),</w:t>
            </w:r>
            <w:r>
              <w:rPr>
                <w:rFonts w:ascii="Times New Roman" w:eastAsia="Times New Roman" w:hAnsi="Times New Roman" w:cs="Times New Roman"/>
              </w:rPr>
              <w:t xml:space="preserve"> подлежащих в соответствии с Федеральным законом оценке по критерию оценки "квалификация участников закупки";</w:t>
            </w:r>
          </w:p>
          <w:p w:rsidR="00D333BD" w:rsidRDefault="00D333BD"/>
        </w:tc>
      </w:tr>
    </w:tbl>
    <w:p w:rsidR="00B52256" w:rsidRPr="00826A71" w:rsidRDefault="00B52256">
      <w:pPr>
        <w:rPr>
          <w:rFonts w:ascii="Times New Roman" w:hAnsi="Times New Roman" w:cs="Times New Roman"/>
          <w:b/>
          <w:bCs/>
        </w:rPr>
      </w:pPr>
      <w:r>
        <w:lastRenderedPageBreak/>
        <w:br w:type="page"/>
      </w:r>
    </w:p>
    <w:tbl>
      <w:tblPr>
        <w:tblW w:w="14459" w:type="dxa"/>
        <w:tblLayout w:type="fixed"/>
        <w:tblCellMar>
          <w:top w:w="102" w:type="dxa"/>
          <w:left w:w="62" w:type="dxa"/>
          <w:bottom w:w="102" w:type="dxa"/>
          <w:right w:w="62" w:type="dxa"/>
        </w:tblCellMar>
        <w:tblLook w:val="04A0" w:firstRow="1" w:lastRow="0" w:firstColumn="1" w:lastColumn="0" w:noHBand="0" w:noVBand="1"/>
      </w:tblPr>
      <w:tblGrid>
        <w:gridCol w:w="14459"/>
      </w:tblGrid>
      <w:tr w:rsidR="00F13C42" w:rsidRPr="00EB2BE7" w:rsidTr="00FF0FAD">
        <w:tc>
          <w:tcPr>
            <w:tcW w:w="14459" w:type="dxa"/>
            <w:tcBorders>
              <w:top w:val="nil"/>
              <w:left w:val="nil"/>
              <w:bottom w:val="nil"/>
              <w:right w:val="nil"/>
            </w:tcBorders>
          </w:tcPr>
          <w:p w:rsidR="00F13C42" w:rsidRPr="00581314" w:rsidRDefault="00F13C42" w:rsidP="00E46085">
            <w:pPr>
              <w:pStyle w:val="ConsPlusNormal"/>
              <w:jc w:val="center"/>
              <w:outlineLvl w:val="2"/>
              <w:rPr>
                <w:rFonts w:ascii="Times New Roman" w:hAnsi="Times New Roman" w:cs="Times New Roman"/>
                <w:b/>
                <w:bCs/>
              </w:rPr>
            </w:pPr>
            <w:r w:rsidRPr="00581314">
              <w:rPr>
                <w:rFonts w:ascii="Times New Roman" w:hAnsi="Times New Roman" w:cs="Times New Roman"/>
                <w:b/>
                <w:bCs/>
              </w:rPr>
              <w:lastRenderedPageBreak/>
              <w:t xml:space="preserve">III. Отдельные положения о применении отдельных критериев оценки, показателей оценки и показателей оценки, детализирующих показатели оценки, предусмотренных </w:t>
            </w:r>
            <w:hyperlink w:anchor="P306" w:history="1">
              <w:r w:rsidRPr="00581314">
                <w:rPr>
                  <w:rFonts w:ascii="Times New Roman" w:hAnsi="Times New Roman" w:cs="Times New Roman"/>
                  <w:b/>
                  <w:bCs/>
                </w:rPr>
                <w:t>разделом II</w:t>
              </w:r>
            </w:hyperlink>
            <w:r w:rsidRPr="00581314">
              <w:rPr>
                <w:rFonts w:ascii="Times New Roman" w:hAnsi="Times New Roman" w:cs="Times New Roman"/>
                <w:b/>
                <w:bCs/>
              </w:rPr>
              <w:t xml:space="preserve"> настоящего документа</w:t>
            </w:r>
          </w:p>
        </w:tc>
      </w:tr>
    </w:tbl>
    <w:p w:rsidR="00F13C42" w:rsidRDefault="00F13C42"/>
    <w:p w:rsidR="00F13C42" w:rsidRDefault="00F13C42">
      <w:bookmarkStart w:id="3" w:name="DETAILEDTABLE"/>
      <w:bookmarkEnd w:id="3"/>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656"/>
        <w:gridCol w:w="6719"/>
        <w:gridCol w:w="7195"/>
      </w:tblGrid>
      <w:tr w:rsidR="00D333BD">
        <w:tc>
          <w:tcPr>
            <w:tcW w:w="0" w:type="auto"/>
          </w:tcPr>
          <w:p w:rsidR="00D333BD" w:rsidRDefault="00931A6B">
            <w:r>
              <w:rPr>
                <w:rFonts w:ascii="Times New Roman" w:eastAsia="Times New Roman" w:hAnsi="Times New Roman" w:cs="Times New Roman"/>
              </w:rPr>
              <w:t>№</w:t>
            </w:r>
          </w:p>
        </w:tc>
        <w:tc>
          <w:tcPr>
            <w:tcW w:w="0" w:type="auto"/>
          </w:tcPr>
          <w:p w:rsidR="00D333BD" w:rsidRDefault="00931A6B">
            <w:r>
              <w:rPr>
                <w:rFonts w:ascii="Times New Roman" w:eastAsia="Times New Roman" w:hAnsi="Times New Roman" w:cs="Times New Roman"/>
              </w:rPr>
              <w:t>Наименование критерия оценки, показателя оценки, показателя оценки, детализирующего показатель оценки, при применении которого устанавливается положение, предусмотренное графой 3</w:t>
            </w:r>
          </w:p>
        </w:tc>
        <w:tc>
          <w:tcPr>
            <w:tcW w:w="0" w:type="auto"/>
          </w:tcPr>
          <w:p w:rsidR="00D333BD" w:rsidRDefault="00931A6B">
            <w:r>
              <w:rPr>
                <w:rFonts w:ascii="Times New Roman" w:eastAsia="Times New Roman" w:hAnsi="Times New Roman" w:cs="Times New Roman"/>
              </w:rPr>
              <w:t>Положение о применении критерия оценки, показателя оценки, показателя оценки, детализирующего показатель оценки</w:t>
            </w:r>
          </w:p>
        </w:tc>
      </w:tr>
      <w:tr w:rsidR="00D333BD">
        <w:tc>
          <w:tcPr>
            <w:tcW w:w="0" w:type="auto"/>
          </w:tcPr>
          <w:p w:rsidR="00D333BD" w:rsidRDefault="00931A6B">
            <w:r>
              <w:rPr>
                <w:rFonts w:ascii="Times New Roman" w:eastAsia="Times New Roman" w:hAnsi="Times New Roman" w:cs="Times New Roman"/>
              </w:rPr>
              <w:t>1</w:t>
            </w:r>
          </w:p>
        </w:tc>
        <w:tc>
          <w:tcPr>
            <w:tcW w:w="0" w:type="auto"/>
          </w:tcPr>
          <w:p w:rsidR="00D333BD" w:rsidRDefault="00931A6B">
            <w:r>
              <w:rPr>
                <w:rFonts w:ascii="Times New Roman" w:eastAsia="Times New Roman" w:hAnsi="Times New Roman" w:cs="Times New Roman"/>
              </w:rPr>
              <w:t>2</w:t>
            </w:r>
          </w:p>
        </w:tc>
        <w:tc>
          <w:tcPr>
            <w:tcW w:w="0" w:type="auto"/>
          </w:tcPr>
          <w:p w:rsidR="00D333BD" w:rsidRDefault="00931A6B">
            <w:r>
              <w:rPr>
                <w:rFonts w:ascii="Times New Roman" w:eastAsia="Times New Roman" w:hAnsi="Times New Roman" w:cs="Times New Roman"/>
              </w:rPr>
              <w:t>3</w:t>
            </w:r>
          </w:p>
        </w:tc>
      </w:tr>
      <w:tr w:rsidR="00D333BD">
        <w:tc>
          <w:tcPr>
            <w:tcW w:w="0" w:type="auto"/>
          </w:tcPr>
          <w:p w:rsidR="00D333BD" w:rsidRDefault="00931A6B">
            <w:r>
              <w:rPr>
                <w:rFonts w:ascii="Times New Roman" w:eastAsia="Times New Roman" w:hAnsi="Times New Roman" w:cs="Times New Roman"/>
              </w:rPr>
              <w:t>1</w:t>
            </w:r>
          </w:p>
        </w:tc>
        <w:tc>
          <w:tcPr>
            <w:tcW w:w="0" w:type="auto"/>
          </w:tcPr>
          <w:p w:rsidR="00D333BD" w:rsidRDefault="00931A6B">
            <w:proofErr w:type="gramStart"/>
            <w:r>
              <w:rPr>
                <w:rFonts w:ascii="Times New Roman" w:eastAsia="Times New Roman" w:hAnsi="Times New Roman" w:cs="Times New Roman"/>
              </w:rPr>
              <w:t>Критерий:</w:t>
            </w:r>
            <w:r>
              <w:rPr>
                <w:rFonts w:ascii="Times New Roman" w:eastAsia="Times New Roman" w:hAnsi="Times New Roman" w:cs="Times New Roman"/>
              </w:rPr>
              <w:br/>
              <w:t>Цена</w:t>
            </w:r>
            <w:proofErr w:type="gramEnd"/>
            <w:r>
              <w:rPr>
                <w:rFonts w:ascii="Times New Roman" w:eastAsia="Times New Roman" w:hAnsi="Times New Roman" w:cs="Times New Roman"/>
              </w:rPr>
              <w:t xml:space="preserve"> контракта, сумма цен единиц товара, работы, услуги</w:t>
            </w:r>
          </w:p>
        </w:tc>
        <w:tc>
          <w:tcPr>
            <w:tcW w:w="0" w:type="auto"/>
          </w:tcPr>
          <w:p w:rsidR="00D333BD" w:rsidRDefault="00931A6B">
            <w:r>
              <w:rPr>
                <w:rFonts w:ascii="Times New Roman" w:eastAsia="Times New Roman" w:hAnsi="Times New Roman" w:cs="Times New Roman"/>
              </w:rPr>
              <w:t xml:space="preserve">Подпункт «а» пункта 3 Положения. </w:t>
            </w:r>
            <w:r>
              <w:rPr>
                <w:rFonts w:ascii="Times New Roman" w:eastAsia="Times New Roman" w:hAnsi="Times New Roman" w:cs="Times New Roman"/>
              </w:rPr>
              <w:br/>
            </w:r>
            <w:r>
              <w:rPr>
                <w:rFonts w:ascii="Times New Roman" w:eastAsia="Times New Roman" w:hAnsi="Times New Roman" w:cs="Times New Roman"/>
              </w:rPr>
              <w:br/>
              <w:t xml:space="preserve">Оценка заявок по критерию оценки </w:t>
            </w:r>
            <w:r>
              <w:rPr>
                <w:rFonts w:ascii="Times New Roman" w:eastAsia="Times New Roman" w:hAnsi="Times New Roman" w:cs="Times New Roman"/>
              </w:rPr>
              <w:t>осуществляется в соответствии со следующими требованиями:</w:t>
            </w:r>
            <w:r>
              <w:rPr>
                <w:rFonts w:ascii="Times New Roman" w:eastAsia="Times New Roman" w:hAnsi="Times New Roman" w:cs="Times New Roman"/>
              </w:rPr>
              <w:br/>
              <w:t>а) заявкам, содержащим наилучшее ценовое предложение, а также предложение, равное такому наилучшему ценовому предложению, присваивается 100 баллов;</w:t>
            </w:r>
            <w:r>
              <w:rPr>
                <w:rFonts w:ascii="Times New Roman" w:eastAsia="Times New Roman" w:hAnsi="Times New Roman" w:cs="Times New Roman"/>
              </w:rPr>
              <w:br/>
              <w:t>б) значение Цл при применении формулы, предусмотре</w:t>
            </w:r>
            <w:r>
              <w:rPr>
                <w:rFonts w:ascii="Times New Roman" w:eastAsia="Times New Roman" w:hAnsi="Times New Roman" w:cs="Times New Roman"/>
              </w:rPr>
              <w:t>нной подпунктом "а" пункта 10 Положения, и значения Цл и Цi при применении формулы, предусмотренной подпунктом "б" пункта 10 Положения, указываются без знака "минус".</w:t>
            </w:r>
            <w:r>
              <w:rPr>
                <w:rFonts w:ascii="Times New Roman" w:eastAsia="Times New Roman" w:hAnsi="Times New Roman" w:cs="Times New Roman"/>
              </w:rPr>
              <w:br/>
            </w:r>
            <w:r>
              <w:rPr>
                <w:rFonts w:ascii="Times New Roman" w:eastAsia="Times New Roman" w:hAnsi="Times New Roman" w:cs="Times New Roman"/>
              </w:rPr>
              <w:br/>
            </w:r>
          </w:p>
        </w:tc>
      </w:tr>
      <w:tr w:rsidR="00D333BD">
        <w:tc>
          <w:tcPr>
            <w:tcW w:w="0" w:type="auto"/>
          </w:tcPr>
          <w:p w:rsidR="00D333BD" w:rsidRDefault="00931A6B">
            <w:r>
              <w:rPr>
                <w:rFonts w:ascii="Times New Roman" w:eastAsia="Times New Roman" w:hAnsi="Times New Roman" w:cs="Times New Roman"/>
              </w:rPr>
              <w:t>4</w:t>
            </w:r>
          </w:p>
        </w:tc>
        <w:tc>
          <w:tcPr>
            <w:tcW w:w="0" w:type="auto"/>
          </w:tcPr>
          <w:p w:rsidR="00D333BD" w:rsidRDefault="00931A6B">
            <w:proofErr w:type="gramStart"/>
            <w:r>
              <w:rPr>
                <w:rFonts w:ascii="Times New Roman" w:eastAsia="Times New Roman" w:hAnsi="Times New Roman" w:cs="Times New Roman"/>
              </w:rPr>
              <w:t>Критерий:</w:t>
            </w:r>
            <w:r>
              <w:rPr>
                <w:rFonts w:ascii="Times New Roman" w:eastAsia="Times New Roman" w:hAnsi="Times New Roman" w:cs="Times New Roman"/>
              </w:rPr>
              <w:br/>
            </w:r>
            <w:r>
              <w:rPr>
                <w:rFonts w:ascii="Times New Roman" w:eastAsia="Times New Roman" w:hAnsi="Times New Roman" w:cs="Times New Roman"/>
              </w:rPr>
              <w:t>Квалификация</w:t>
            </w:r>
            <w:proofErr w:type="gramEnd"/>
            <w:r>
              <w:rPr>
                <w:rFonts w:ascii="Times New Roman" w:eastAsia="Times New Roman" w:hAnsi="Times New Roman" w:cs="Times New Roman"/>
              </w:rPr>
              <w:t xml:space="preserve">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w:t>
            </w:r>
            <w:r>
              <w:rPr>
                <w:rFonts w:ascii="Times New Roman" w:eastAsia="Times New Roman" w:hAnsi="Times New Roman" w:cs="Times New Roman"/>
              </w:rPr>
              <w:t>в и иных работников определенного уровня квалификации</w:t>
            </w:r>
          </w:p>
        </w:tc>
        <w:tc>
          <w:tcPr>
            <w:tcW w:w="0" w:type="auto"/>
          </w:tcPr>
          <w:p w:rsidR="00D333BD" w:rsidRDefault="00931A6B">
            <w:r>
              <w:rPr>
                <w:rFonts w:ascii="Times New Roman" w:eastAsia="Times New Roman" w:hAnsi="Times New Roman" w:cs="Times New Roman"/>
              </w:rPr>
              <w:t>Подпункт «г» пункта 3 Положения</w:t>
            </w:r>
          </w:p>
        </w:tc>
      </w:tr>
      <w:tr w:rsidR="00D333BD">
        <w:tc>
          <w:tcPr>
            <w:tcW w:w="0" w:type="auto"/>
          </w:tcPr>
          <w:p w:rsidR="00D333BD" w:rsidRDefault="00931A6B">
            <w:r>
              <w:rPr>
                <w:rFonts w:ascii="Times New Roman" w:eastAsia="Times New Roman" w:hAnsi="Times New Roman" w:cs="Times New Roman"/>
              </w:rPr>
              <w:t>4.1</w:t>
            </w:r>
          </w:p>
        </w:tc>
        <w:tc>
          <w:tcPr>
            <w:tcW w:w="0" w:type="auto"/>
          </w:tcPr>
          <w:p w:rsidR="00D333BD" w:rsidRDefault="00931A6B">
            <w:proofErr w:type="gramStart"/>
            <w:r>
              <w:rPr>
                <w:rFonts w:ascii="Times New Roman" w:eastAsia="Times New Roman" w:hAnsi="Times New Roman" w:cs="Times New Roman"/>
              </w:rPr>
              <w:t>Показатель:</w:t>
            </w:r>
            <w:r>
              <w:rPr>
                <w:rFonts w:ascii="Times New Roman" w:eastAsia="Times New Roman" w:hAnsi="Times New Roman" w:cs="Times New Roman"/>
              </w:rPr>
              <w:br/>
              <w:t>Наличие</w:t>
            </w:r>
            <w:proofErr w:type="gramEnd"/>
            <w:r>
              <w:rPr>
                <w:rFonts w:ascii="Times New Roman" w:eastAsia="Times New Roman" w:hAnsi="Times New Roman" w:cs="Times New Roman"/>
              </w:rPr>
              <w:t xml:space="preserve"> у участников закупки опыта поставки товара, выполнения работы, оказания услуги, связанного с предметом контракта</w:t>
            </w:r>
            <w:r>
              <w:rPr>
                <w:rFonts w:ascii="Times New Roman" w:eastAsia="Times New Roman" w:hAnsi="Times New Roman" w:cs="Times New Roman"/>
              </w:rPr>
              <w:br/>
            </w:r>
          </w:p>
        </w:tc>
        <w:tc>
          <w:tcPr>
            <w:tcW w:w="0" w:type="auto"/>
          </w:tcPr>
          <w:p w:rsidR="00D333BD" w:rsidRDefault="00931A6B">
            <w:r>
              <w:rPr>
                <w:rFonts w:ascii="Times New Roman" w:eastAsia="Times New Roman" w:hAnsi="Times New Roman" w:cs="Times New Roman"/>
              </w:rPr>
              <w:t>Подпункт «в» пункта 24 Положени</w:t>
            </w:r>
            <w:r>
              <w:rPr>
                <w:rFonts w:ascii="Times New Roman" w:eastAsia="Times New Roman" w:hAnsi="Times New Roman" w:cs="Times New Roman"/>
              </w:rPr>
              <w:t xml:space="preserve">я </w:t>
            </w:r>
            <w:r>
              <w:rPr>
                <w:rFonts w:ascii="Times New Roman" w:eastAsia="Times New Roman" w:hAnsi="Times New Roman" w:cs="Times New Roman"/>
              </w:rPr>
              <w:br/>
            </w:r>
          </w:p>
        </w:tc>
      </w:tr>
      <w:tr w:rsidR="00D333BD">
        <w:tc>
          <w:tcPr>
            <w:tcW w:w="0" w:type="auto"/>
          </w:tcPr>
          <w:p w:rsidR="00D333BD" w:rsidRDefault="00931A6B">
            <w:r>
              <w:rPr>
                <w:rFonts w:ascii="Times New Roman" w:eastAsia="Times New Roman" w:hAnsi="Times New Roman" w:cs="Times New Roman"/>
              </w:rPr>
              <w:lastRenderedPageBreak/>
              <w:t>4.1.1</w:t>
            </w:r>
          </w:p>
        </w:tc>
        <w:tc>
          <w:tcPr>
            <w:tcW w:w="0" w:type="auto"/>
          </w:tcPr>
          <w:p w:rsidR="00D333BD" w:rsidRDefault="00931A6B">
            <w:r>
              <w:rPr>
                <w:rFonts w:ascii="Times New Roman" w:eastAsia="Times New Roman" w:hAnsi="Times New Roman" w:cs="Times New Roman"/>
              </w:rPr>
              <w:t>Детализирующий показатель: Характеристика квалификации участников закупки N 1</w:t>
            </w:r>
            <w:r>
              <w:rPr>
                <w:rFonts w:ascii="Times New Roman" w:eastAsia="Times New Roman" w:hAnsi="Times New Roman" w:cs="Times New Roman"/>
              </w:rPr>
              <w:br/>
              <w:t>Общая цена исполненных участником закупки договоров</w:t>
            </w:r>
            <w:r>
              <w:rPr>
                <w:rFonts w:ascii="Times New Roman" w:eastAsia="Times New Roman" w:hAnsi="Times New Roman" w:cs="Times New Roman"/>
              </w:rPr>
              <w:br/>
            </w:r>
          </w:p>
        </w:tc>
        <w:tc>
          <w:tcPr>
            <w:tcW w:w="0" w:type="auto"/>
          </w:tcPr>
          <w:p w:rsidR="00D333BD" w:rsidRDefault="00931A6B">
            <w:r>
              <w:rPr>
                <w:rFonts w:ascii="Times New Roman" w:eastAsia="Times New Roman" w:hAnsi="Times New Roman" w:cs="Times New Roman"/>
              </w:rPr>
              <w:t>Подпункт «а» пункта 28 Положения</w:t>
            </w:r>
            <w:r>
              <w:rPr>
                <w:rFonts w:ascii="Times New Roman" w:eastAsia="Times New Roman" w:hAnsi="Times New Roman" w:cs="Times New Roman"/>
              </w:rPr>
              <w:br/>
              <w:t>Требования к документам для оценки показателя:</w:t>
            </w:r>
            <w:r>
              <w:rPr>
                <w:rFonts w:ascii="Times New Roman" w:eastAsia="Times New Roman" w:hAnsi="Times New Roman" w:cs="Times New Roman"/>
              </w:rPr>
              <w:br/>
              <w:t>Предмет договора (договоров), оцен</w:t>
            </w:r>
            <w:r>
              <w:rPr>
                <w:rFonts w:ascii="Times New Roman" w:eastAsia="Times New Roman" w:hAnsi="Times New Roman" w:cs="Times New Roman"/>
              </w:rPr>
              <w:t>иваемого по детализирующему показателю, сопоставимый с предметом контракта, заключаемого по результатам определения поставщика (подрядчика, исполнителя), предусматривающего:</w:t>
            </w:r>
            <w:r>
              <w:rPr>
                <w:rFonts w:ascii="Times New Roman" w:eastAsia="Times New Roman" w:hAnsi="Times New Roman" w:cs="Times New Roman"/>
              </w:rPr>
              <w:br/>
              <w:t>- одновременное выполнение работ (услуг) по разработке проектно-сметной документац</w:t>
            </w:r>
            <w:r>
              <w:rPr>
                <w:rFonts w:ascii="Times New Roman" w:eastAsia="Times New Roman" w:hAnsi="Times New Roman" w:cs="Times New Roman"/>
              </w:rPr>
              <w:t xml:space="preserve">ии на благоустройство и(или) архитектурно-планировочной концепции благоустройства пространств (территории) и работ (услуг) по благоустройству пространств (территории); </w:t>
            </w:r>
            <w:r>
              <w:rPr>
                <w:rFonts w:ascii="Times New Roman" w:eastAsia="Times New Roman" w:hAnsi="Times New Roman" w:cs="Times New Roman"/>
              </w:rPr>
              <w:br/>
              <w:t>- работы (услуги) по благоустройству пространств (территории).</w:t>
            </w:r>
            <w:r>
              <w:rPr>
                <w:rFonts w:ascii="Times New Roman" w:eastAsia="Times New Roman" w:hAnsi="Times New Roman" w:cs="Times New Roman"/>
              </w:rPr>
              <w:br/>
            </w:r>
            <w:r>
              <w:rPr>
                <w:rFonts w:ascii="Times New Roman" w:eastAsia="Times New Roman" w:hAnsi="Times New Roman" w:cs="Times New Roman"/>
              </w:rPr>
              <w:br/>
              <w:t>Перечень документов, по</w:t>
            </w:r>
            <w:r>
              <w:rPr>
                <w:rFonts w:ascii="Times New Roman" w:eastAsia="Times New Roman" w:hAnsi="Times New Roman" w:cs="Times New Roman"/>
              </w:rPr>
              <w:t>дтверждающих наличие у участника закупки опыта работы, связанного с предметом контракта:</w:t>
            </w:r>
            <w:r>
              <w:rPr>
                <w:rFonts w:ascii="Times New Roman" w:eastAsia="Times New Roman" w:hAnsi="Times New Roman" w:cs="Times New Roman"/>
              </w:rPr>
              <w:br/>
              <w:t>1. Исполненный договор (договоры);</w:t>
            </w:r>
            <w:r>
              <w:rPr>
                <w:rFonts w:ascii="Times New Roman" w:eastAsia="Times New Roman" w:hAnsi="Times New Roman" w:cs="Times New Roman"/>
              </w:rPr>
              <w:br/>
              <w:t>2. Акт (акты) приемки поставленного товара, выполненных работ, оказанных услуг.</w:t>
            </w:r>
            <w:r>
              <w:rPr>
                <w:rFonts w:ascii="Times New Roman" w:eastAsia="Times New Roman" w:hAnsi="Times New Roman" w:cs="Times New Roman"/>
              </w:rPr>
              <w:br/>
              <w:t>Последний акт, составленный при исполнении договора,</w:t>
            </w:r>
            <w:r>
              <w:rPr>
                <w:rFonts w:ascii="Times New Roman" w:eastAsia="Times New Roman" w:hAnsi="Times New Roman" w:cs="Times New Roman"/>
              </w:rPr>
              <w:t xml:space="preserve"> должен быть подписан не ранее чем за 5 лет до даты окончания срока подачи заявок.</w:t>
            </w:r>
            <w:r>
              <w:rPr>
                <w:rFonts w:ascii="Times New Roman" w:eastAsia="Times New Roman" w:hAnsi="Times New Roman" w:cs="Times New Roman"/>
              </w:rPr>
              <w:br/>
              <w:t>К оценке принимаются исполненные участником закупки с учетом правопреемства (в случае наличия в заявке подтверждающего документа) контракты, заключенные и исполненные в соот</w:t>
            </w:r>
            <w:r>
              <w:rPr>
                <w:rFonts w:ascii="Times New Roman" w:eastAsia="Times New Roman" w:hAnsi="Times New Roman" w:cs="Times New Roman"/>
              </w:rPr>
              <w:t>ветствии с Федеральным законом № 44-ФЗ, и договоры, заключенные и исполненные в соответствии с Федеральным законом № 223-ФЗ «О закупках товаров, работ, услуг отдельными видами юридических лиц»;</w:t>
            </w:r>
            <w:r>
              <w:rPr>
                <w:rFonts w:ascii="Times New Roman" w:eastAsia="Times New Roman" w:hAnsi="Times New Roman" w:cs="Times New Roman"/>
              </w:rPr>
              <w:br/>
              <w:t>К оценке принимаются документы: исполненный договор (договоры)</w:t>
            </w:r>
            <w:r>
              <w:rPr>
                <w:rFonts w:ascii="Times New Roman" w:eastAsia="Times New Roman" w:hAnsi="Times New Roman" w:cs="Times New Roman"/>
              </w:rPr>
              <w:t>, акт (акты) приемки поставленного товара, выполненных работ, оказанных услуг, составленные при исполнении такого договора (договоров), в случае их представления в заявке в полном объеме и со всеми приложениями.</w:t>
            </w:r>
            <w:r>
              <w:rPr>
                <w:rFonts w:ascii="Times New Roman" w:eastAsia="Times New Roman" w:hAnsi="Times New Roman" w:cs="Times New Roman"/>
              </w:rPr>
              <w:br/>
              <w:t xml:space="preserve">Документы направляются участником закупки в </w:t>
            </w:r>
            <w:r>
              <w:rPr>
                <w:rFonts w:ascii="Times New Roman" w:eastAsia="Times New Roman" w:hAnsi="Times New Roman" w:cs="Times New Roman"/>
              </w:rPr>
              <w:t>форме электронных документов или в форме электронных образов бумажных документов.</w:t>
            </w:r>
            <w:r>
              <w:rPr>
                <w:rFonts w:ascii="Times New Roman" w:eastAsia="Times New Roman" w:hAnsi="Times New Roman" w:cs="Times New Roman"/>
              </w:rPr>
              <w:br/>
              <w:t>При этом представленные документы должны быть в виде неповторяющихся, полно читаемых копий, на которых видны необходимые подписи и печати (при наличии).</w:t>
            </w:r>
            <w:r>
              <w:rPr>
                <w:rFonts w:ascii="Times New Roman" w:eastAsia="Times New Roman" w:hAnsi="Times New Roman" w:cs="Times New Roman"/>
              </w:rPr>
              <w:br/>
              <w:t>Каждый контракт (дого</w:t>
            </w:r>
            <w:r>
              <w:rPr>
                <w:rFonts w:ascii="Times New Roman" w:eastAsia="Times New Roman" w:hAnsi="Times New Roman" w:cs="Times New Roman"/>
              </w:rPr>
              <w:t xml:space="preserve">вор) должен быть исполнен участником закупки в полном объеме в соответствии с условиями, установленными в таком </w:t>
            </w:r>
            <w:r>
              <w:rPr>
                <w:rFonts w:ascii="Times New Roman" w:eastAsia="Times New Roman" w:hAnsi="Times New Roman" w:cs="Times New Roman"/>
              </w:rPr>
              <w:lastRenderedPageBreak/>
              <w:t>контракте (договоре).</w:t>
            </w:r>
            <w:r>
              <w:rPr>
                <w:rFonts w:ascii="Times New Roman" w:eastAsia="Times New Roman" w:hAnsi="Times New Roman" w:cs="Times New Roman"/>
              </w:rPr>
              <w:br/>
              <w:t>Оценке не подлежат контракты (договоры), поставка товара, выполнение работ, оказание услуг по которым продолжаются и (или)</w:t>
            </w:r>
            <w:r>
              <w:rPr>
                <w:rFonts w:ascii="Times New Roman" w:eastAsia="Times New Roman" w:hAnsi="Times New Roman" w:cs="Times New Roman"/>
              </w:rPr>
              <w:t xml:space="preserve"> не выполнены (являются незавершенными). </w:t>
            </w:r>
            <w:r>
              <w:rPr>
                <w:rFonts w:ascii="Times New Roman" w:eastAsia="Times New Roman" w:hAnsi="Times New Roman" w:cs="Times New Roman"/>
              </w:rPr>
              <w:br/>
              <w:t>Если такие документы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"Интернет", в том числе ведение которых осу</w:t>
            </w:r>
            <w:r>
              <w:rPr>
                <w:rFonts w:ascii="Times New Roman" w:eastAsia="Times New Roman" w:hAnsi="Times New Roman" w:cs="Times New Roman"/>
              </w:rPr>
              <w:t>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информационно-телекоммуникационной сети "Интернет", вместо направления таких документов учас</w:t>
            </w:r>
            <w:r>
              <w:rPr>
                <w:rFonts w:ascii="Times New Roman" w:eastAsia="Times New Roman" w:hAnsi="Times New Roman" w:cs="Times New Roman"/>
              </w:rPr>
              <w:t>тник закупки вправе направить номер реестровой записи из соответствующего реестра.</w:t>
            </w:r>
            <w:r>
              <w:rPr>
                <w:rFonts w:ascii="Times New Roman" w:eastAsia="Times New Roman" w:hAnsi="Times New Roman" w:cs="Times New Roman"/>
              </w:rPr>
              <w:br/>
              <w:t>В случае наличия противоречий между информацией, содержащейся в единой информационной системе, и информацией, содержащейся в документах, направляемых участником закупки, при</w:t>
            </w:r>
            <w:r>
              <w:rPr>
                <w:rFonts w:ascii="Times New Roman" w:eastAsia="Times New Roman" w:hAnsi="Times New Roman" w:cs="Times New Roman"/>
              </w:rPr>
              <w:t>оритет имеет информация, содержащаяся в единой информационной системе.</w:t>
            </w:r>
            <w:r>
              <w:rPr>
                <w:rFonts w:ascii="Times New Roman" w:eastAsia="Times New Roman" w:hAnsi="Times New Roman" w:cs="Times New Roman"/>
              </w:rPr>
              <w:br/>
              <w:t>Участник закупки вправе указать представленные в составе заявки контракты и (или) договоры и (или) номера реестровых записей из соответствующего реестра в рекомендованной форме «Квалифи</w:t>
            </w:r>
            <w:r>
              <w:rPr>
                <w:rFonts w:ascii="Times New Roman" w:eastAsia="Times New Roman" w:hAnsi="Times New Roman" w:cs="Times New Roman"/>
              </w:rPr>
              <w:t>кация участников закупки» (приложение к Порядку рассмотрения и оценки заявок на участие в конкурсе).</w:t>
            </w:r>
            <w:r>
              <w:rPr>
                <w:rFonts w:ascii="Times New Roman" w:eastAsia="Times New Roman" w:hAnsi="Times New Roman" w:cs="Times New Roman"/>
              </w:rPr>
              <w:br/>
              <w:t xml:space="preserve">Единица измерения: Рубль </w:t>
            </w:r>
            <w:r>
              <w:rPr>
                <w:rFonts w:ascii="Times New Roman" w:eastAsia="Times New Roman" w:hAnsi="Times New Roman" w:cs="Times New Roman"/>
              </w:rPr>
              <w:br/>
              <w:t>Участник закупки вправе указать представленные в составе заявки контракты и (или) договоры и (или) номера реестровых записей из с</w:t>
            </w:r>
            <w:r>
              <w:rPr>
                <w:rFonts w:ascii="Times New Roman" w:eastAsia="Times New Roman" w:hAnsi="Times New Roman" w:cs="Times New Roman"/>
              </w:rPr>
              <w:t>оответствующего реестра в рекомендованной форме «Квалификация участников закупки» (Приложение №1 к Порядку рассмотрения и оценки заявок на участие в конкурсе).</w:t>
            </w:r>
          </w:p>
        </w:tc>
      </w:tr>
    </w:tbl>
    <w:p w:rsidR="0067777B" w:rsidRDefault="0081244D">
      <w:r>
        <w:lastRenderedPageBreak/>
        <w:br w:type="page"/>
      </w:r>
    </w:p>
    <w:p w:rsidR="00BC7D1C" w:rsidRPr="00BC7D1C" w:rsidRDefault="00BC7D1C" w:rsidP="00BC7D1C">
      <w:pPr>
        <w:jc w:val="right"/>
        <w:rPr>
          <w:rFonts w:ascii="Times New Roman" w:hAnsi="Times New Roman" w:cs="Times New Roman"/>
        </w:rPr>
      </w:pPr>
      <w:r w:rsidRPr="002674CF">
        <w:rPr>
          <w:rFonts w:ascii="Times New Roman" w:eastAsiaTheme="majorEastAsia" w:hAnsi="Times New Roman" w:cs="Times New Roman"/>
          <w:color w:val="000000" w:themeColor="text1"/>
          <w:kern w:val="24"/>
        </w:rPr>
        <w:lastRenderedPageBreak/>
        <w:t xml:space="preserve">Приложение </w:t>
      </w:r>
      <w:r w:rsidR="007B6841" w:rsidRPr="007B6841">
        <w:rPr>
          <w:rFonts w:ascii="Times New Roman" w:eastAsiaTheme="majorEastAsia" w:hAnsi="Times New Roman" w:cs="Times New Roman"/>
          <w:kern w:val="24"/>
        </w:rPr>
        <w:t>№1</w:t>
      </w:r>
      <w:r w:rsidRPr="002674CF">
        <w:rPr>
          <w:rFonts w:ascii="Times New Roman" w:eastAsiaTheme="majorEastAsia" w:hAnsi="Times New Roman" w:cs="Times New Roman"/>
          <w:color w:val="000000" w:themeColor="text1"/>
          <w:kern w:val="24"/>
        </w:rPr>
        <w:br/>
        <w:t xml:space="preserve">к </w:t>
      </w:r>
      <w:r w:rsidR="008338AA">
        <w:rPr>
          <w:rFonts w:ascii="Times New Roman" w:eastAsiaTheme="majorEastAsia" w:hAnsi="Times New Roman" w:cs="Times New Roman"/>
          <w:color w:val="000000" w:themeColor="text1"/>
          <w:kern w:val="24"/>
        </w:rPr>
        <w:t>П</w:t>
      </w:r>
      <w:r w:rsidRPr="002674CF">
        <w:rPr>
          <w:rFonts w:ascii="Times New Roman" w:eastAsiaTheme="majorEastAsia" w:hAnsi="Times New Roman" w:cs="Times New Roman"/>
          <w:color w:val="000000" w:themeColor="text1"/>
          <w:kern w:val="24"/>
        </w:rPr>
        <w:t xml:space="preserve">орядку рассмотрения и оценки </w:t>
      </w:r>
      <w:r w:rsidRPr="002674CF">
        <w:rPr>
          <w:rFonts w:ascii="Times New Roman" w:eastAsiaTheme="majorEastAsia" w:hAnsi="Times New Roman" w:cs="Times New Roman"/>
          <w:color w:val="000000" w:themeColor="text1"/>
          <w:kern w:val="24"/>
        </w:rPr>
        <w:br/>
        <w:t>заявок на участие в конкурсе</w:t>
      </w:r>
    </w:p>
    <w:p w:rsidR="0067777B" w:rsidRDefault="00A07020" w:rsidP="00DA623C">
      <w:pPr>
        <w:jc w:val="center"/>
      </w:pPr>
      <w:r w:rsidRPr="0003236D">
        <w:rPr>
          <w:rFonts w:ascii="Times New Roman" w:hAnsi="Times New Roman" w:cs="Times New Roman"/>
          <w:b/>
          <w:bCs/>
          <w:sz w:val="24"/>
          <w:szCs w:val="24"/>
        </w:rPr>
        <w:t>Рекомендованная форма «Квалификация участников закупки»</w:t>
      </w:r>
    </w:p>
    <w:p w:rsidR="006B4A43" w:rsidRDefault="006B4A43">
      <w:bookmarkStart w:id="4" w:name="QualPurchaseParticipantTable"/>
      <w:bookmarkEnd w:id="4"/>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517"/>
        <w:gridCol w:w="2009"/>
        <w:gridCol w:w="1227"/>
        <w:gridCol w:w="1651"/>
        <w:gridCol w:w="1358"/>
        <w:gridCol w:w="1626"/>
        <w:gridCol w:w="1236"/>
        <w:gridCol w:w="1537"/>
        <w:gridCol w:w="2028"/>
        <w:gridCol w:w="1381"/>
      </w:tblGrid>
      <w:tr w:rsidR="00D333BD">
        <w:tc>
          <w:tcPr>
            <w:tcW w:w="0" w:type="auto"/>
          </w:tcPr>
          <w:p w:rsidR="00D333BD" w:rsidRDefault="00931A6B">
            <w:r>
              <w:rPr>
                <w:rFonts w:ascii="Times New Roman" w:eastAsia="Times New Roman" w:hAnsi="Times New Roman" w:cs="Times New Roman"/>
              </w:rPr>
              <w:t>№ п/п</w:t>
            </w:r>
          </w:p>
        </w:tc>
        <w:tc>
          <w:tcPr>
            <w:tcW w:w="0" w:type="auto"/>
          </w:tcPr>
          <w:p w:rsidR="00D333BD" w:rsidRDefault="00931A6B">
            <w:r>
              <w:rPr>
                <w:rFonts w:ascii="Times New Roman" w:eastAsia="Times New Roman" w:hAnsi="Times New Roman" w:cs="Times New Roman"/>
              </w:rPr>
              <w:t xml:space="preserve">Номер реестровой записи из соответствующего реестра </w:t>
            </w:r>
            <w:r>
              <w:rPr>
                <w:rFonts w:ascii="Times New Roman" w:eastAsia="Times New Roman" w:hAnsi="Times New Roman" w:cs="Times New Roman"/>
              </w:rPr>
              <w:br/>
              <w:t xml:space="preserve">(при наличии) </w:t>
            </w:r>
            <w:r>
              <w:rPr>
                <w:rFonts w:ascii="Times New Roman" w:eastAsia="Times New Roman" w:hAnsi="Times New Roman" w:cs="Times New Roman"/>
              </w:rPr>
              <w:br/>
            </w:r>
          </w:p>
        </w:tc>
        <w:tc>
          <w:tcPr>
            <w:tcW w:w="0" w:type="auto"/>
          </w:tcPr>
          <w:p w:rsidR="00D333BD" w:rsidRDefault="00931A6B">
            <w:r>
              <w:rPr>
                <w:rFonts w:ascii="Times New Roman" w:eastAsia="Times New Roman" w:hAnsi="Times New Roman" w:cs="Times New Roman"/>
              </w:rPr>
              <w:t>Номер контракта (договора)</w:t>
            </w:r>
          </w:p>
        </w:tc>
        <w:tc>
          <w:tcPr>
            <w:tcW w:w="0" w:type="auto"/>
          </w:tcPr>
          <w:p w:rsidR="00D333BD" w:rsidRDefault="00931A6B">
            <w:r>
              <w:rPr>
                <w:rFonts w:ascii="Times New Roman" w:eastAsia="Times New Roman" w:hAnsi="Times New Roman" w:cs="Times New Roman"/>
              </w:rPr>
              <w:t>Наименование Заказчика по контракту (договору), в том числе ИНН</w:t>
            </w:r>
          </w:p>
        </w:tc>
        <w:tc>
          <w:tcPr>
            <w:tcW w:w="0" w:type="auto"/>
          </w:tcPr>
          <w:p w:rsidR="00D333BD" w:rsidRDefault="00931A6B">
            <w:r>
              <w:rPr>
                <w:rFonts w:ascii="Times New Roman" w:eastAsia="Times New Roman" w:hAnsi="Times New Roman" w:cs="Times New Roman"/>
              </w:rPr>
              <w:t>Дата заключения контракта (договора)</w:t>
            </w:r>
          </w:p>
        </w:tc>
        <w:tc>
          <w:tcPr>
            <w:tcW w:w="0" w:type="auto"/>
          </w:tcPr>
          <w:p w:rsidR="00D333BD" w:rsidRDefault="00931A6B">
            <w:r>
              <w:rPr>
                <w:rFonts w:ascii="Times New Roman" w:eastAsia="Times New Roman" w:hAnsi="Times New Roman" w:cs="Times New Roman"/>
              </w:rPr>
              <w:t>Наименование предмета контракта (договора)</w:t>
            </w:r>
          </w:p>
        </w:tc>
        <w:tc>
          <w:tcPr>
            <w:tcW w:w="0" w:type="auto"/>
          </w:tcPr>
          <w:p w:rsidR="00D333BD" w:rsidRDefault="00931A6B">
            <w:r>
              <w:rPr>
                <w:rFonts w:ascii="Times New Roman" w:eastAsia="Times New Roman" w:hAnsi="Times New Roman" w:cs="Times New Roman"/>
              </w:rPr>
              <w:t>Цена контракта (договора) (рублей)</w:t>
            </w:r>
          </w:p>
        </w:tc>
        <w:tc>
          <w:tcPr>
            <w:tcW w:w="0" w:type="auto"/>
          </w:tcPr>
          <w:p w:rsidR="00D333BD" w:rsidRDefault="00931A6B">
            <w:r>
              <w:rPr>
                <w:rFonts w:ascii="Times New Roman" w:eastAsia="Times New Roman" w:hAnsi="Times New Roman" w:cs="Times New Roman"/>
              </w:rPr>
              <w:t xml:space="preserve">Стоимость исполненных обязательств в стоимостном выражении </w:t>
            </w:r>
            <w:r>
              <w:rPr>
                <w:rFonts w:ascii="Times New Roman" w:eastAsia="Times New Roman" w:hAnsi="Times New Roman" w:cs="Times New Roman"/>
              </w:rPr>
              <w:br/>
              <w:t xml:space="preserve">(рублей) </w:t>
            </w:r>
            <w:r>
              <w:rPr>
                <w:rFonts w:ascii="Times New Roman" w:eastAsia="Times New Roman" w:hAnsi="Times New Roman" w:cs="Times New Roman"/>
              </w:rPr>
              <w:br/>
            </w:r>
          </w:p>
        </w:tc>
        <w:tc>
          <w:tcPr>
            <w:tcW w:w="0" w:type="auto"/>
          </w:tcPr>
          <w:p w:rsidR="00D333BD" w:rsidRDefault="00931A6B">
            <w:r>
              <w:rPr>
                <w:rFonts w:ascii="Times New Roman" w:eastAsia="Times New Roman" w:hAnsi="Times New Roman" w:cs="Times New Roman"/>
              </w:rPr>
              <w:t>Номер, дата и сумма документа(ов), подтверждающего исполнение обязательств</w:t>
            </w:r>
          </w:p>
        </w:tc>
        <w:tc>
          <w:tcPr>
            <w:tcW w:w="0" w:type="auto"/>
          </w:tcPr>
          <w:p w:rsidR="00D333BD" w:rsidRDefault="00931A6B">
            <w:r>
              <w:rPr>
                <w:rFonts w:ascii="Times New Roman" w:eastAsia="Times New Roman" w:hAnsi="Times New Roman" w:cs="Times New Roman"/>
              </w:rPr>
              <w:t>Примечание</w:t>
            </w:r>
          </w:p>
        </w:tc>
      </w:tr>
      <w:tr w:rsidR="00D333BD">
        <w:tc>
          <w:tcPr>
            <w:tcW w:w="0" w:type="auto"/>
          </w:tcPr>
          <w:p w:rsidR="00D333BD" w:rsidRDefault="00D333BD"/>
        </w:tc>
        <w:tc>
          <w:tcPr>
            <w:tcW w:w="0" w:type="auto"/>
          </w:tcPr>
          <w:p w:rsidR="00D333BD" w:rsidRDefault="00D333BD"/>
        </w:tc>
        <w:tc>
          <w:tcPr>
            <w:tcW w:w="0" w:type="auto"/>
          </w:tcPr>
          <w:p w:rsidR="00D333BD" w:rsidRDefault="00D333BD"/>
        </w:tc>
        <w:tc>
          <w:tcPr>
            <w:tcW w:w="0" w:type="auto"/>
          </w:tcPr>
          <w:p w:rsidR="00D333BD" w:rsidRDefault="00D333BD"/>
        </w:tc>
        <w:tc>
          <w:tcPr>
            <w:tcW w:w="0" w:type="auto"/>
          </w:tcPr>
          <w:p w:rsidR="00D333BD" w:rsidRDefault="00D333BD"/>
        </w:tc>
        <w:tc>
          <w:tcPr>
            <w:tcW w:w="0" w:type="auto"/>
          </w:tcPr>
          <w:p w:rsidR="00D333BD" w:rsidRDefault="00D333BD"/>
        </w:tc>
        <w:tc>
          <w:tcPr>
            <w:tcW w:w="0" w:type="auto"/>
          </w:tcPr>
          <w:p w:rsidR="00D333BD" w:rsidRDefault="00D333BD"/>
        </w:tc>
        <w:tc>
          <w:tcPr>
            <w:tcW w:w="0" w:type="auto"/>
          </w:tcPr>
          <w:p w:rsidR="00D333BD" w:rsidRDefault="00D333BD"/>
        </w:tc>
        <w:tc>
          <w:tcPr>
            <w:tcW w:w="0" w:type="auto"/>
          </w:tcPr>
          <w:p w:rsidR="00D333BD" w:rsidRDefault="00D333BD"/>
        </w:tc>
        <w:tc>
          <w:tcPr>
            <w:tcW w:w="0" w:type="auto"/>
          </w:tcPr>
          <w:p w:rsidR="00D333BD" w:rsidRDefault="00D333BD"/>
        </w:tc>
      </w:tr>
      <w:tr w:rsidR="00D333BD">
        <w:tc>
          <w:tcPr>
            <w:tcW w:w="0" w:type="auto"/>
          </w:tcPr>
          <w:p w:rsidR="00D333BD" w:rsidRDefault="00D333BD"/>
        </w:tc>
        <w:tc>
          <w:tcPr>
            <w:tcW w:w="0" w:type="auto"/>
          </w:tcPr>
          <w:p w:rsidR="00D333BD" w:rsidRDefault="00D333BD"/>
        </w:tc>
        <w:tc>
          <w:tcPr>
            <w:tcW w:w="0" w:type="auto"/>
          </w:tcPr>
          <w:p w:rsidR="00D333BD" w:rsidRDefault="00D333BD"/>
        </w:tc>
        <w:tc>
          <w:tcPr>
            <w:tcW w:w="0" w:type="auto"/>
          </w:tcPr>
          <w:p w:rsidR="00D333BD" w:rsidRDefault="00D333BD"/>
        </w:tc>
        <w:tc>
          <w:tcPr>
            <w:tcW w:w="0" w:type="auto"/>
          </w:tcPr>
          <w:p w:rsidR="00D333BD" w:rsidRDefault="00D333BD"/>
        </w:tc>
        <w:tc>
          <w:tcPr>
            <w:tcW w:w="0" w:type="auto"/>
          </w:tcPr>
          <w:p w:rsidR="00D333BD" w:rsidRDefault="00D333BD"/>
        </w:tc>
        <w:tc>
          <w:tcPr>
            <w:tcW w:w="0" w:type="auto"/>
          </w:tcPr>
          <w:p w:rsidR="00D333BD" w:rsidRDefault="00D333BD"/>
        </w:tc>
        <w:tc>
          <w:tcPr>
            <w:tcW w:w="0" w:type="auto"/>
          </w:tcPr>
          <w:p w:rsidR="00D333BD" w:rsidRDefault="00D333BD"/>
        </w:tc>
        <w:tc>
          <w:tcPr>
            <w:tcW w:w="0" w:type="auto"/>
          </w:tcPr>
          <w:p w:rsidR="00D333BD" w:rsidRDefault="00D333BD"/>
        </w:tc>
        <w:tc>
          <w:tcPr>
            <w:tcW w:w="0" w:type="auto"/>
          </w:tcPr>
          <w:p w:rsidR="00D333BD" w:rsidRDefault="00D333BD"/>
        </w:tc>
      </w:tr>
      <w:tr w:rsidR="00D333BD">
        <w:tc>
          <w:tcPr>
            <w:tcW w:w="0" w:type="auto"/>
          </w:tcPr>
          <w:p w:rsidR="00D333BD" w:rsidRDefault="00D333BD"/>
        </w:tc>
        <w:tc>
          <w:tcPr>
            <w:tcW w:w="0" w:type="auto"/>
          </w:tcPr>
          <w:p w:rsidR="00D333BD" w:rsidRDefault="00D333BD"/>
        </w:tc>
        <w:tc>
          <w:tcPr>
            <w:tcW w:w="0" w:type="auto"/>
          </w:tcPr>
          <w:p w:rsidR="00D333BD" w:rsidRDefault="00D333BD"/>
        </w:tc>
        <w:tc>
          <w:tcPr>
            <w:tcW w:w="0" w:type="auto"/>
          </w:tcPr>
          <w:p w:rsidR="00D333BD" w:rsidRDefault="00D333BD"/>
        </w:tc>
        <w:tc>
          <w:tcPr>
            <w:tcW w:w="0" w:type="auto"/>
          </w:tcPr>
          <w:p w:rsidR="00D333BD" w:rsidRDefault="00D333BD"/>
        </w:tc>
        <w:tc>
          <w:tcPr>
            <w:tcW w:w="0" w:type="auto"/>
          </w:tcPr>
          <w:p w:rsidR="00D333BD" w:rsidRDefault="00D333BD"/>
        </w:tc>
        <w:tc>
          <w:tcPr>
            <w:tcW w:w="0" w:type="auto"/>
          </w:tcPr>
          <w:p w:rsidR="00D333BD" w:rsidRDefault="00D333BD"/>
        </w:tc>
        <w:tc>
          <w:tcPr>
            <w:tcW w:w="0" w:type="auto"/>
          </w:tcPr>
          <w:p w:rsidR="00D333BD" w:rsidRDefault="00D333BD"/>
        </w:tc>
        <w:tc>
          <w:tcPr>
            <w:tcW w:w="0" w:type="auto"/>
          </w:tcPr>
          <w:p w:rsidR="00D333BD" w:rsidRDefault="00D333BD"/>
        </w:tc>
        <w:tc>
          <w:tcPr>
            <w:tcW w:w="0" w:type="auto"/>
          </w:tcPr>
          <w:p w:rsidR="00D333BD" w:rsidRDefault="00D333BD"/>
        </w:tc>
      </w:tr>
      <w:tr w:rsidR="00D333BD">
        <w:tc>
          <w:tcPr>
            <w:tcW w:w="0" w:type="auto"/>
          </w:tcPr>
          <w:p w:rsidR="00D333BD" w:rsidRDefault="00D333BD"/>
        </w:tc>
        <w:tc>
          <w:tcPr>
            <w:tcW w:w="0" w:type="auto"/>
          </w:tcPr>
          <w:p w:rsidR="00D333BD" w:rsidRDefault="00D333BD"/>
        </w:tc>
        <w:tc>
          <w:tcPr>
            <w:tcW w:w="0" w:type="auto"/>
          </w:tcPr>
          <w:p w:rsidR="00D333BD" w:rsidRDefault="00D333BD"/>
        </w:tc>
        <w:tc>
          <w:tcPr>
            <w:tcW w:w="0" w:type="auto"/>
          </w:tcPr>
          <w:p w:rsidR="00D333BD" w:rsidRDefault="00D333BD"/>
        </w:tc>
        <w:tc>
          <w:tcPr>
            <w:tcW w:w="0" w:type="auto"/>
          </w:tcPr>
          <w:p w:rsidR="00D333BD" w:rsidRDefault="00D333BD"/>
        </w:tc>
        <w:tc>
          <w:tcPr>
            <w:tcW w:w="0" w:type="auto"/>
          </w:tcPr>
          <w:p w:rsidR="00D333BD" w:rsidRDefault="00D333BD"/>
        </w:tc>
        <w:tc>
          <w:tcPr>
            <w:tcW w:w="0" w:type="auto"/>
          </w:tcPr>
          <w:p w:rsidR="00D333BD" w:rsidRDefault="00D333BD"/>
        </w:tc>
        <w:tc>
          <w:tcPr>
            <w:tcW w:w="0" w:type="auto"/>
          </w:tcPr>
          <w:p w:rsidR="00D333BD" w:rsidRDefault="00D333BD"/>
        </w:tc>
        <w:tc>
          <w:tcPr>
            <w:tcW w:w="0" w:type="auto"/>
          </w:tcPr>
          <w:p w:rsidR="00D333BD" w:rsidRDefault="00D333BD"/>
        </w:tc>
        <w:tc>
          <w:tcPr>
            <w:tcW w:w="0" w:type="auto"/>
          </w:tcPr>
          <w:p w:rsidR="00D333BD" w:rsidRDefault="00D333BD"/>
        </w:tc>
      </w:tr>
    </w:tbl>
    <w:p w:rsidR="00DF1ADA" w:rsidRPr="00740892" w:rsidRDefault="00DF1ADA"/>
    <w:p w:rsidR="0081244D" w:rsidRDefault="0081244D">
      <w:r>
        <w:br w:type="page"/>
      </w:r>
    </w:p>
    <w:p w:rsidR="00DF1ADA" w:rsidRDefault="00DF1ADA"/>
    <w:p w:rsidR="00BC7D1C" w:rsidRDefault="00BC7D1C" w:rsidP="00BC7D1C">
      <w:pPr>
        <w:pStyle w:val="a8"/>
        <w:spacing w:before="0" w:beforeAutospacing="0" w:after="0" w:afterAutospacing="0" w:line="216" w:lineRule="auto"/>
        <w:jc w:val="right"/>
      </w:pPr>
      <w:r w:rsidRPr="002674CF">
        <w:rPr>
          <w:rFonts w:eastAsiaTheme="majorEastAsia"/>
          <w:color w:val="000000" w:themeColor="text1"/>
          <w:kern w:val="24"/>
        </w:rPr>
        <w:t>Приложение 2</w:t>
      </w:r>
      <w:r w:rsidRPr="002674CF">
        <w:rPr>
          <w:rFonts w:eastAsiaTheme="majorEastAsia"/>
          <w:color w:val="000000" w:themeColor="text1"/>
          <w:kern w:val="24"/>
        </w:rPr>
        <w:br/>
        <w:t xml:space="preserve">к порядку рассмотрения и оценки </w:t>
      </w:r>
      <w:r w:rsidRPr="002674CF">
        <w:rPr>
          <w:rFonts w:eastAsiaTheme="majorEastAsia"/>
          <w:color w:val="000000" w:themeColor="text1"/>
          <w:kern w:val="24"/>
        </w:rPr>
        <w:br/>
        <w:t>заявок на участие в конкурсе</w:t>
      </w:r>
    </w:p>
    <w:p w:rsidR="00DF1ADA" w:rsidRPr="002674CF" w:rsidRDefault="00DF1ADA" w:rsidP="00DF1ADA">
      <w:pPr>
        <w:jc w:val="center"/>
        <w:rPr>
          <w:rFonts w:ascii="Times New Roman" w:eastAsia="Times New Roman" w:hAnsi="Times New Roman" w:cs="Times New Roman"/>
          <w:b/>
        </w:rPr>
      </w:pPr>
      <w:r w:rsidRPr="002674CF">
        <w:rPr>
          <w:rFonts w:ascii="Times New Roman" w:eastAsia="Times New Roman" w:hAnsi="Times New Roman" w:cs="Times New Roman"/>
          <w:b/>
        </w:rPr>
        <w:t>«Перечень свойств объекта закупки, подлежащих оценке, рекомендуемая форма предоставления предложений участником закупки о свойствах объекта закупки, подлежащих оценке»</w:t>
      </w:r>
    </w:p>
    <w:p w:rsidR="00DF1ADA" w:rsidRDefault="00DF1ADA">
      <w:bookmarkStart w:id="5" w:name="ObjectCharPropertyTable"/>
      <w:bookmarkEnd w:id="5"/>
    </w:p>
    <w:p w:rsidR="00DA5756" w:rsidRDefault="00DA5756">
      <w:pPr>
        <w:rPr>
          <w:lang w:val="en-US"/>
        </w:rPr>
      </w:pPr>
      <w:r>
        <w:rPr>
          <w:rFonts w:ascii="Times New Roman" w:eastAsia="Times New Roman" w:hAnsi="Times New Roman" w:cs="Times New Roman"/>
          <w:lang w:val="en-US"/>
        </w:rPr>
        <w:t>Не предусмотрено</w:t>
      </w:r>
    </w:p>
    <w:p w:rsidR="00CC3487" w:rsidRPr="00DA5756" w:rsidRDefault="00CC3487">
      <w:pPr>
        <w:rPr>
          <w:lang w:val="en-US"/>
        </w:rPr>
      </w:pPr>
    </w:p>
    <w:sectPr w:rsidR="00CC3487" w:rsidRPr="00DA5756" w:rsidSect="009E1E0E">
      <w:pgSz w:w="16838" w:h="11906" w:orient="landscape"/>
      <w:pgMar w:top="709"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3313"/>
    <w:rsid w:val="00033313"/>
    <w:rsid w:val="000F342C"/>
    <w:rsid w:val="000F3768"/>
    <w:rsid w:val="00115C02"/>
    <w:rsid w:val="001D12C4"/>
    <w:rsid w:val="001D48F7"/>
    <w:rsid w:val="0024501E"/>
    <w:rsid w:val="002F3B3E"/>
    <w:rsid w:val="0036091C"/>
    <w:rsid w:val="003F1954"/>
    <w:rsid w:val="004524A4"/>
    <w:rsid w:val="0067777B"/>
    <w:rsid w:val="00680E31"/>
    <w:rsid w:val="006B4A43"/>
    <w:rsid w:val="00740892"/>
    <w:rsid w:val="007B6841"/>
    <w:rsid w:val="007D4F56"/>
    <w:rsid w:val="0081244D"/>
    <w:rsid w:val="00826A71"/>
    <w:rsid w:val="008338AA"/>
    <w:rsid w:val="00931A6B"/>
    <w:rsid w:val="00955E38"/>
    <w:rsid w:val="009E1E0E"/>
    <w:rsid w:val="00A07020"/>
    <w:rsid w:val="00A716E5"/>
    <w:rsid w:val="00AC7B22"/>
    <w:rsid w:val="00AF06A6"/>
    <w:rsid w:val="00B133AD"/>
    <w:rsid w:val="00B52256"/>
    <w:rsid w:val="00B72EB7"/>
    <w:rsid w:val="00B92C06"/>
    <w:rsid w:val="00BC7D1C"/>
    <w:rsid w:val="00CB1740"/>
    <w:rsid w:val="00CC3487"/>
    <w:rsid w:val="00D333BD"/>
    <w:rsid w:val="00DA5756"/>
    <w:rsid w:val="00DA623C"/>
    <w:rsid w:val="00DC512C"/>
    <w:rsid w:val="00DD4BAD"/>
    <w:rsid w:val="00DF1ADA"/>
    <w:rsid w:val="00E44C01"/>
    <w:rsid w:val="00F13C42"/>
    <w:rsid w:val="00F13D14"/>
    <w:rsid w:val="00FD2AB3"/>
    <w:rsid w:val="00FF0F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5221F4D-8177-4AB0-AD01-58E828CAEC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15C0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13C42"/>
    <w:pPr>
      <w:widowControl w:val="0"/>
      <w:autoSpaceDE w:val="0"/>
      <w:autoSpaceDN w:val="0"/>
      <w:spacing w:after="0" w:line="240" w:lineRule="auto"/>
    </w:pPr>
    <w:rPr>
      <w:rFonts w:ascii="Calibri" w:eastAsia="Times New Roman" w:hAnsi="Calibri" w:cs="Calibri"/>
      <w:szCs w:val="20"/>
      <w:lang w:eastAsia="ru-RU"/>
    </w:rPr>
  </w:style>
  <w:style w:type="character" w:styleId="a3">
    <w:name w:val="annotation reference"/>
    <w:basedOn w:val="a0"/>
    <w:uiPriority w:val="99"/>
    <w:semiHidden/>
    <w:unhideWhenUsed/>
    <w:rsid w:val="00F13C42"/>
    <w:rPr>
      <w:sz w:val="16"/>
      <w:szCs w:val="16"/>
    </w:rPr>
  </w:style>
  <w:style w:type="paragraph" w:styleId="a4">
    <w:name w:val="annotation text"/>
    <w:basedOn w:val="a"/>
    <w:link w:val="a5"/>
    <w:uiPriority w:val="99"/>
    <w:unhideWhenUsed/>
    <w:rsid w:val="00F13C42"/>
    <w:pPr>
      <w:spacing w:line="240" w:lineRule="auto"/>
    </w:pPr>
    <w:rPr>
      <w:sz w:val="20"/>
      <w:szCs w:val="20"/>
    </w:rPr>
  </w:style>
  <w:style w:type="character" w:customStyle="1" w:styleId="a5">
    <w:name w:val="Текст примечания Знак"/>
    <w:basedOn w:val="a0"/>
    <w:link w:val="a4"/>
    <w:uiPriority w:val="99"/>
    <w:rsid w:val="00F13C42"/>
    <w:rPr>
      <w:sz w:val="20"/>
      <w:szCs w:val="20"/>
    </w:rPr>
  </w:style>
  <w:style w:type="paragraph" w:styleId="a6">
    <w:name w:val="Balloon Text"/>
    <w:basedOn w:val="a"/>
    <w:link w:val="a7"/>
    <w:uiPriority w:val="99"/>
    <w:semiHidden/>
    <w:unhideWhenUsed/>
    <w:rsid w:val="00DF1ADA"/>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DF1ADA"/>
    <w:rPr>
      <w:rFonts w:ascii="Segoe UI" w:hAnsi="Segoe UI" w:cs="Segoe UI"/>
      <w:sz w:val="18"/>
      <w:szCs w:val="18"/>
    </w:rPr>
  </w:style>
  <w:style w:type="paragraph" w:styleId="a8">
    <w:name w:val="Normal (Web)"/>
    <w:basedOn w:val="a"/>
    <w:uiPriority w:val="99"/>
    <w:unhideWhenUsed/>
    <w:rsid w:val="00BC7D1C"/>
    <w:pPr>
      <w:spacing w:before="100" w:beforeAutospacing="1" w:after="100" w:afterAutospacing="1" w:line="240" w:lineRule="auto"/>
    </w:pPr>
    <w:rPr>
      <w:rFonts w:ascii="Times New Roman" w:eastAsiaTheme="minorEastAsia" w:hAnsi="Times New Roman" w:cs="Times New Roman"/>
      <w:sz w:val="24"/>
      <w:szCs w:val="24"/>
      <w:lang w:eastAsia="ru-RU"/>
    </w:rPr>
  </w:style>
  <w:style w:type="table" w:styleId="a9">
    <w:name w:val="Table Grid"/>
    <w:basedOn w:val="a1"/>
    <w:uiPriority w:val="39"/>
    <w:rsid w:val="001D12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5989908">
      <w:bodyDiv w:val="1"/>
      <w:marLeft w:val="0"/>
      <w:marRight w:val="0"/>
      <w:marTop w:val="0"/>
      <w:marBottom w:val="0"/>
      <w:divBdr>
        <w:top w:val="none" w:sz="0" w:space="0" w:color="auto"/>
        <w:left w:val="none" w:sz="0" w:space="0" w:color="auto"/>
        <w:bottom w:val="none" w:sz="0" w:space="0" w:color="auto"/>
        <w:right w:val="none" w:sz="0" w:space="0" w:color="auto"/>
      </w:divBdr>
      <w:divsChild>
        <w:div w:id="1574899704">
          <w:marLeft w:val="0"/>
          <w:marRight w:val="0"/>
          <w:marTop w:val="0"/>
          <w:marBottom w:val="0"/>
          <w:divBdr>
            <w:top w:val="none" w:sz="0" w:space="0" w:color="auto"/>
            <w:left w:val="none" w:sz="0" w:space="0" w:color="auto"/>
            <w:bottom w:val="none" w:sz="0" w:space="0" w:color="auto"/>
            <w:right w:val="none" w:sz="0" w:space="0" w:color="auto"/>
          </w:divBdr>
        </w:div>
      </w:divsChild>
    </w:div>
    <w:div w:id="1471822558">
      <w:bodyDiv w:val="1"/>
      <w:marLeft w:val="0"/>
      <w:marRight w:val="0"/>
      <w:marTop w:val="0"/>
      <w:marBottom w:val="0"/>
      <w:divBdr>
        <w:top w:val="none" w:sz="0" w:space="0" w:color="auto"/>
        <w:left w:val="none" w:sz="0" w:space="0" w:color="auto"/>
        <w:bottom w:val="none" w:sz="0" w:space="0" w:color="auto"/>
        <w:right w:val="none" w:sz="0" w:space="0" w:color="auto"/>
      </w:divBdr>
      <w:divsChild>
        <w:div w:id="11618885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consultantplus://offline/ref=FDDE73BB6AAB325B841641DCA308EFB82E34920EE5020150773C3F7DC793FF5224A74CBC36497D303FF468268BN3t2J" TargetMode="External"/><Relationship Id="rId5" Type="http://schemas.openxmlformats.org/officeDocument/2006/relationships/hyperlink" Target="consultantplus://offline/ref=FDDE73BB6AAB325B841641DCA308EFB82E34920EE5020150773C3F7DC793FF5224A74CBC36497D303FF468268BN3t2J"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7068FA-136B-4DD0-9276-A043ABF87E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1970</Words>
  <Characters>11231</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Владислав Зубарев</dc:creator>
  <cp:keywords/>
  <dc:description/>
  <cp:lastModifiedBy>Евгения Сергеевна Гришина</cp:lastModifiedBy>
  <cp:revision>2</cp:revision>
  <dcterms:created xsi:type="dcterms:W3CDTF">2026-05-27T06:52:00Z</dcterms:created>
  <dcterms:modified xsi:type="dcterms:W3CDTF">2026-05-27T06:52:00Z</dcterms:modified>
</cp:coreProperties>
</file>