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keepNext w:val="true"/>
        <w:pBdr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</w:p>
    <w:p>
      <w:pPr>
        <w:pBdr/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</w:p>
    <w:p>
      <w:pPr>
        <w:pBdr/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(0816500000626010229)</w:t>
      </w:r>
      <w:r>
        <w:rPr>
          <w:rFonts w:eastAsia="Times New Roman"/>
          <w:sz w:val="24"/>
          <w:szCs w:val="24"/>
          <w:lang w:eastAsia="ru-RU"/>
        </w:rPr>
      </w:r>
    </w:p>
    <w:p>
      <w:pPr>
        <w:pBdr/>
        <w:spacing w:after="0" w:line="240" w:lineRule="auto"/>
        <w:ind w:right="5243" w:left="3828"/>
        <w:jc w:val="both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</w:p>
    <w:tbl>
      <w:tblPr>
        <w:tblW w:w="10206" w:type="dxa"/>
        <w:tblInd w:w="-5" w:type="dxa"/>
        <w:tblBorders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Borders/>
            <w:tcW w:w="3544" w:type="dxa"/>
            <w:vAlign w:val="bottom"/>
            <w:textDirection w:val="lrTb"/>
            <w:noWrap w:val="false"/>
          </w:tcPr>
          <w:p>
            <w:pPr>
              <w:pStyle w:val="879"/>
              <w:pBdr/>
              <w:tabs>
                <w:tab w:val="left" w:leader="none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24.06.2026</w:t>
            </w:r>
            <w:r>
              <w:rPr>
                <w:rFonts w:cs="Times New Roman"/>
                <w:bCs/>
              </w:rPr>
            </w:r>
          </w:p>
        </w:tc>
        <w:tc>
          <w:tcPr>
            <w:tcBorders/>
            <w:tcW w:w="3260" w:type="dxa"/>
            <w:vAlign w:val="bottom"/>
            <w:textDirection w:val="lrTb"/>
            <w:noWrap w:val="false"/>
          </w:tcPr>
          <w:p>
            <w:pPr>
              <w:pStyle w:val="879"/>
              <w:pBdr/>
              <w:tabs>
                <w:tab w:val="left" w:leader="none" w:pos="567"/>
              </w:tabs>
              <w:spacing w:after="60" w:before="60" w:line="240" w:lineRule="auto"/>
              <w:ind w:left="0"/>
              <w:jc w:val="right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</w:p>
        </w:tc>
        <w:tc>
          <w:tcPr>
            <w:tcBorders/>
            <w:tcW w:w="3402" w:type="dxa"/>
            <w:textDirection w:val="lrTb"/>
            <w:noWrap w:val="false"/>
          </w:tcPr>
          <w:p>
            <w:pPr>
              <w:pStyle w:val="879"/>
              <w:pBdr/>
              <w:tabs>
                <w:tab w:val="left" w:leader="none" w:pos="567"/>
              </w:tabs>
              <w:spacing w:after="60" w:before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0816500000626010229-1-1</w:t>
            </w:r>
            <w:r>
              <w:rPr>
                <w:rFonts w:cs="Times New Roman"/>
                <w:lang w:eastAsia="ru-RU"/>
              </w:rPr>
            </w:r>
          </w:p>
        </w:tc>
      </w:tr>
      <w:tr>
        <w:trPr/>
        <w:tc>
          <w:tcPr>
            <w:gridSpan w:val="3"/>
            <w:tcBorders/>
            <w:tcW w:w="10206" w:type="dxa"/>
            <w:vAlign w:val="bottom"/>
            <w:textDirection w:val="lrTb"/>
            <w:noWrap w:val="false"/>
          </w:tcPr>
          <w:p>
            <w:pPr>
              <w:pStyle w:val="879"/>
              <w:pBdr/>
              <w:tabs>
                <w:tab w:val="left" w:leader="none" w:pos="567"/>
              </w:tabs>
              <w:spacing w:after="60" w:before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Саха (Якутия) Респ, Якутск г</w:t>
            </w:r>
            <w:r>
              <w:rPr>
                <w:rFonts w:cs="Times New Roman"/>
                <w:bCs/>
              </w:rPr>
            </w:r>
          </w:p>
        </w:tc>
      </w:tr>
    </w:tbl>
    <w:p>
      <w:pPr>
        <w:pStyle w:val="879"/>
        <w:pBdr/>
        <w:tabs>
          <w:tab w:val="left" w:leader="none" w:pos="567"/>
        </w:tabs>
        <w:spacing w:after="60" w:before="60" w:line="240" w:lineRule="auto"/>
        <w:ind w:left="0"/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</w:p>
    <w:p>
      <w:pPr>
        <w:pStyle w:val="881"/>
        <w:widowControl w:val="false"/>
        <w:numPr>
          <w:ilvl w:val="0"/>
          <w:numId w:val="13"/>
        </w:numPr>
        <w:pBdr/>
        <w:spacing w:after="0" w:before="60" w:line="240" w:lineRule="auto"/>
        <w:ind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</w:p>
    <w:p>
      <w:pPr>
        <w:widowControl w:val="false"/>
        <w:pBdr/>
        <w:spacing w:after="0" w:before="60" w:line="240" w:lineRule="auto"/>
        <w:ind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</w:rPr>
      </w:r>
    </w:p>
    <w:p>
      <w:pPr>
        <w:pStyle w:val="881"/>
        <w:widowControl w:val="false"/>
        <w:numPr>
          <w:ilvl w:val="0"/>
          <w:numId w:val="13"/>
        </w:numPr>
        <w:pBdr/>
        <w:spacing w:after="0" w:before="60" w:line="240" w:lineRule="auto"/>
        <w:ind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</w:p>
    <w:tbl>
      <w:tblPr>
        <w:tblStyle w:val="88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Borders/>
            <w:tcW w:w="10093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before="60"/>
              <w:ind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"ЯКУТСКАЯ ГОРОДСКАЯ БОЛЬНИЦА №2"</w:t>
            </w:r>
            <w:r>
              <w:rPr>
                <w:rFonts w:eastAsia="Times New Roman"/>
                <w:sz w:val="22"/>
                <w:szCs w:val="22"/>
              </w:rPr>
            </w:r>
          </w:p>
        </w:tc>
      </w:tr>
    </w:tbl>
    <w:p>
      <w:pPr>
        <w:pStyle w:val="881"/>
        <w:widowControl w:val="false"/>
        <w:numPr>
          <w:ilvl w:val="0"/>
          <w:numId w:val="13"/>
        </w:numPr>
        <w:pBdr/>
        <w:spacing w:after="0" w:before="60" w:line="240" w:lineRule="auto"/>
        <w:ind/>
        <w:jc w:val="both"/>
        <w:rPr/>
      </w:pPr>
      <w:r>
        <w:t xml:space="preserve">Идентификационный код закупки: 262143510125314350100100950010000244. </w:t>
      </w:r>
      <w:r/>
    </w:p>
    <w:p>
      <w:pPr>
        <w:pStyle w:val="881"/>
        <w:widowControl w:val="false"/>
        <w:numPr>
          <w:ilvl w:val="0"/>
          <w:numId w:val="13"/>
        </w:numPr>
        <w:pBdr/>
        <w:spacing w:after="0" w:before="60" w:line="240" w:lineRule="auto"/>
        <w:ind/>
        <w:jc w:val="both"/>
        <w:rPr/>
      </w:pPr>
      <w:r>
        <w:t xml:space="preserve">Извещение об осуществлении закупки размещено 10.06.2026 14:32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http://www.etp-ets.ru.</w:t>
      </w:r>
      <w:r/>
    </w:p>
    <w:p>
      <w:pPr>
        <w:pStyle w:val="881"/>
        <w:widowControl w:val="false"/>
        <w:numPr>
          <w:ilvl w:val="0"/>
          <w:numId w:val="13"/>
        </w:numPr>
        <w:pBdr/>
        <w:spacing w:after="0" w:before="60" w:line="240" w:lineRule="auto"/>
        <w:ind/>
        <w:rPr/>
      </w:pPr>
      <w:r>
        <w:t xml:space="preserve">Наименование объекта закупки: Поставка изделий медицинского назначения (Контейнер-тележка для сбора медицинских отходов класса: А, Б)</w:t>
      </w:r>
      <w:r>
        <w:t xml:space="preserve">.</w:t>
      </w:r>
      <w:r/>
    </w:p>
    <w:p>
      <w:pPr>
        <w:pStyle w:val="881"/>
        <w:widowControl w:val="false"/>
        <w:numPr>
          <w:ilvl w:val="0"/>
          <w:numId w:val="13"/>
        </w:numPr>
        <w:pBdr/>
        <w:spacing w:after="0" w:before="60" w:line="240" w:lineRule="auto"/>
        <w:ind/>
        <w:rPr/>
      </w:pPr>
      <w:r>
        <w:t xml:space="preserve">Начальная (максимальная) цена контракта, руб.: 493 383.00</w:t>
      </w:r>
      <w:r/>
    </w:p>
    <w:p>
      <w:pPr>
        <w:widowControl w:val="false"/>
        <w:pBdr/>
        <w:spacing w:after="0" w:before="60" w:line="240" w:lineRule="auto"/>
        <w:ind/>
        <w:rPr/>
      </w:pPr>
      <w:r>
        <w:t xml:space="preserve"/>
      </w:r>
      <w:r/>
    </w:p>
    <w:p>
      <w:pPr>
        <w:pStyle w:val="881"/>
        <w:keepNext w:val="true"/>
        <w:widowControl w:val="false"/>
        <w:numPr>
          <w:ilvl w:val="0"/>
          <w:numId w:val="13"/>
        </w:numPr>
        <w:pBdr/>
        <w:spacing w:after="0" w:before="60" w:line="240" w:lineRule="auto"/>
        <w:ind/>
        <w:jc w:val="both"/>
        <w:rPr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/>
            </w:pPr>
            <w:r>
              <w:t xml:space="preserve">Илларионова Надежда Евгеньевна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/>
            </w:pPr>
            <w:r>
              <w:t xml:space="preserve">Афанасьева Диана Радомировна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/>
            </w:pPr>
            <w:r>
              <w:t xml:space="preserve">Старший 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/>
            </w:pPr>
            <w:r>
              <w:t xml:space="preserve">Афанасьев Андрей Исаевич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/>
            </w:pPr>
            <w:r>
              <w:t xml:space="preserve">Старший специалист по закупкам отдела по организационным вопросам и работы с заказчиками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/>
            </w:pPr>
            <w:r>
              <w:t xml:space="preserve">Ермолаев Сарыал Андрианович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/>
            </w:pPr>
            <w:r>
              <w:t xml:space="preserve">Старший 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/>
            </w:pPr>
            <w:r>
              <w:t xml:space="preserve">Нестерова Варвара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/>
            </w:pPr>
            <w:r>
              <w:t xml:space="preserve">Старший специалист по закупкам отдела по организационным вопросам и работы с заказчиками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/>
            </w:pPr>
            <w:r>
              <w:t xml:space="preserve">Петрова Саина Иннокентьевна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/>
            </w:pPr>
            <w:r>
              <w:t xml:space="preserve">Присутствует</w:t>
            </w:r>
            <w:r/>
          </w:p>
        </w:tc>
      </w:tr>
    </w:tbl>
    <w:p>
      <w:pPr>
        <w:widowControl w:val="false"/>
        <w:pBdr/>
        <w:spacing w:after="0" w:before="60" w:line="240" w:lineRule="auto"/>
        <w:ind/>
        <w:jc w:val="both"/>
        <w:rPr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81"/>
        <w:numPr>
          <w:ilvl w:val="0"/>
          <w:numId w:val="13"/>
        </w:numPr>
        <w:pBdr/>
        <w:spacing w:after="0" w:before="60" w:line="240" w:lineRule="auto"/>
        <w:ind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</w:p>
    <w:tbl>
      <w:tblPr>
        <w:tblStyle w:val="880"/>
        <w:tblW w:w="10206" w:type="dxa"/>
        <w:tblInd w:w="-5" w:type="dxa"/>
        <w:tblBorders/>
        <w:tblLayout w:type="fixed"/>
        <w:tblLook w:val="04A0" w:firstRow="1" w:lastRow="0" w:firstColumn="1" w:lastColumn="0" w:noHBand="0" w:noVBand="1"/>
      </w:tblPr>
      <w:tblGrid>
        <w:gridCol w:w="1123"/>
        <w:gridCol w:w="1291"/>
        <w:gridCol w:w="1098"/>
        <w:gridCol w:w="2020"/>
        <w:gridCol w:w="1383"/>
        <w:gridCol w:w="1317"/>
        <w:gridCol w:w="987"/>
        <w:gridCol w:w="987"/>
      </w:tblGrid>
      <w:tr>
        <w:trPr>
          <w:trHeight w:val="843"/>
        </w:trPr>
        <w:tc>
          <w:tcPr>
            <w:tcBorders/>
            <w:tcW w:w="1123" w:type="dxa"/>
            <w:vAlign w:val="center"/>
            <w:textDirection w:val="lrTb"/>
            <w:noWrap w:val="false"/>
          </w:tcPr>
          <w:p>
            <w:pPr>
              <w:pBdr/>
              <w:spacing w:before="60"/>
              <w:ind w:left="-108"/>
              <w:jc w:val="center"/>
              <w:rPr>
                <w:rFonts w:eastAsia="Times New Roman"/>
                <w:b/>
                <w:bCs/>
                <w:sz w:val="20"/>
                <w:szCs w:val="20"/>
                <w:highlight w:val="none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highlight w:val="none"/>
              </w:rPr>
              <w:t xml:space="preserve">Порядковый номер заявки, присвоенный оператором</w:t>
            </w:r>
            <w:r>
              <w:rPr>
                <w:sz w:val="20"/>
                <w:szCs w:val="20"/>
                <w:highlight w:val="none"/>
              </w:rPr>
            </w:r>
            <w:r>
              <w:rPr>
                <w:rFonts w:eastAsia="Times New Roman"/>
                <w:b/>
                <w:bCs/>
                <w:sz w:val="20"/>
                <w:szCs w:val="20"/>
                <w:highlight w:val="none"/>
              </w:rPr>
            </w:r>
          </w:p>
        </w:tc>
        <w:tc>
          <w:tcPr>
            <w:tcBorders/>
            <w:tcW w:w="1291" w:type="dxa"/>
            <w:vAlign w:val="center"/>
            <w:textDirection w:val="lrTb"/>
            <w:noWrap w:val="false"/>
          </w:tcPr>
          <w:p>
            <w:pPr>
              <w:pBdr/>
              <w:spacing w:before="60"/>
              <w:ind/>
              <w:jc w:val="center"/>
              <w:rPr>
                <w:rFonts w:eastAsia="Times New Roman"/>
                <w:b/>
                <w:bCs/>
                <w:sz w:val="20"/>
                <w:szCs w:val="20"/>
                <w:highlight w:val="none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highlight w:val="none"/>
              </w:rPr>
              <w:t xml:space="preserve">Идентификационный номер заявки, присвоенный оператором,</w:t>
            </w:r>
            <w:r>
              <w:rPr>
                <w:sz w:val="20"/>
                <w:szCs w:val="20"/>
                <w:highlight w:val="none"/>
              </w:rPr>
            </w:r>
            <w:r>
              <w:rPr>
                <w:rFonts w:eastAsia="Times New Roman"/>
                <w:b/>
                <w:bCs/>
                <w:sz w:val="20"/>
                <w:szCs w:val="20"/>
                <w:highlight w:val="none"/>
              </w:rPr>
            </w:r>
          </w:p>
          <w:p>
            <w:pPr>
              <w:pBdr/>
              <w:spacing w:before="60"/>
              <w:ind/>
              <w:jc w:val="center"/>
              <w:rPr>
                <w:rFonts w:eastAsia="Times New Roman"/>
                <w:b/>
                <w:bCs/>
                <w:sz w:val="20"/>
                <w:szCs w:val="20"/>
                <w:highlight w:val="none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highlight w:val="none"/>
              </w:rPr>
              <w:t xml:space="preserve">дата и время регистрации</w:t>
            </w:r>
            <w:r>
              <w:rPr>
                <w:sz w:val="20"/>
                <w:szCs w:val="20"/>
                <w:highlight w:val="none"/>
              </w:rPr>
            </w:r>
            <w:r>
              <w:rPr>
                <w:rFonts w:eastAsia="Times New Roman"/>
                <w:b/>
                <w:bCs/>
                <w:sz w:val="20"/>
                <w:szCs w:val="20"/>
                <w:highlight w:val="none"/>
              </w:rPr>
            </w:r>
          </w:p>
        </w:tc>
        <w:tc>
          <w:tcPr>
            <w:tcBorders/>
            <w:tcW w:w="1098" w:type="dxa"/>
            <w:vAlign w:val="center"/>
            <w:textDirection w:val="lrTb"/>
            <w:noWrap w:val="false"/>
          </w:tcPr>
          <w:p>
            <w:pPr>
              <w:pBdr/>
              <w:spacing w:before="60"/>
              <w:ind/>
              <w:jc w:val="center"/>
              <w:rPr>
                <w:rFonts w:eastAsia="Times New Roman"/>
                <w:b/>
                <w:bCs/>
                <w:sz w:val="20"/>
                <w:szCs w:val="20"/>
                <w:highlight w:val="none"/>
              </w:rPr>
            </w:pPr>
            <w:r>
              <w:rPr>
                <w:rFonts w:eastAsia="Times New Roman"/>
                <w:b/>
                <w:sz w:val="20"/>
                <w:szCs w:val="20"/>
                <w:highlight w:val="none"/>
              </w:rPr>
              <w:t xml:space="preserve">Решение о соответствии или об отклонении заявки</w:t>
            </w:r>
            <w:r>
              <w:rPr>
                <w:sz w:val="20"/>
                <w:szCs w:val="20"/>
                <w:highlight w:val="none"/>
              </w:rPr>
            </w:r>
            <w:r>
              <w:rPr>
                <w:rFonts w:eastAsia="Times New Roman"/>
                <w:b/>
                <w:bCs/>
                <w:sz w:val="20"/>
                <w:szCs w:val="20"/>
                <w:highlight w:val="none"/>
              </w:rPr>
            </w:r>
          </w:p>
        </w:tc>
        <w:tc>
          <w:tcPr>
            <w:tcBorders/>
            <w:tcW w:w="2020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Times New Roman"/>
                <w:b/>
                <w:sz w:val="20"/>
                <w:szCs w:val="20"/>
                <w:highlight w:val="none"/>
              </w:rPr>
            </w:pPr>
            <w:r>
              <w:rPr>
                <w:rFonts w:eastAsia="Times New Roman"/>
                <w:b/>
                <w:sz w:val="20"/>
                <w:szCs w:val="20"/>
                <w:highlight w:val="none"/>
              </w:rPr>
            </w:r>
            <w:r>
              <w:rPr>
                <w:sz w:val="20"/>
                <w:szCs w:val="20"/>
                <w:highlight w:val="none"/>
              </w:rPr>
            </w:r>
            <w:r>
              <w:rPr>
                <w:rFonts w:eastAsia="Times New Roman"/>
                <w:b/>
                <w:sz w:val="20"/>
                <w:szCs w:val="20"/>
                <w:highlight w:val="none"/>
              </w:rPr>
            </w:r>
          </w:p>
          <w:p>
            <w:pPr>
              <w:pBdr/>
              <w:spacing/>
              <w:ind/>
              <w:jc w:val="center"/>
              <w:rPr>
                <w:rFonts w:eastAsia="Times New Roman"/>
                <w:b/>
                <w:bCs/>
                <w:sz w:val="20"/>
                <w:szCs w:val="20"/>
                <w:highlight w:val="none"/>
              </w:rPr>
            </w:pPr>
            <w:r>
              <w:rPr>
                <w:rFonts w:eastAsia="Times New Roman"/>
                <w:b/>
                <w:sz w:val="20"/>
                <w:szCs w:val="20"/>
                <w:highlight w:val="none"/>
              </w:rPr>
              <w:t xml:space="preserve">Обоснование решения об отклонении заявки</w:t>
            </w:r>
            <w:r>
              <w:rPr>
                <w:sz w:val="20"/>
                <w:szCs w:val="20"/>
                <w:highlight w:val="none"/>
              </w:rPr>
            </w:r>
            <w:r>
              <w:rPr>
                <w:rFonts w:eastAsia="Times New Roman"/>
                <w:b/>
                <w:bCs/>
                <w:sz w:val="20"/>
                <w:szCs w:val="20"/>
                <w:highlight w:val="none"/>
              </w:rPr>
            </w:r>
          </w:p>
        </w:tc>
        <w:tc>
          <w:tcPr>
            <w:tcBorders/>
            <w:tcW w:w="1383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Times New Roman"/>
                <w:b/>
                <w:sz w:val="20"/>
                <w:szCs w:val="20"/>
                <w:highlight w:val="none"/>
              </w:rPr>
            </w:pPr>
            <w:r>
              <w:rPr>
                <w:rFonts w:eastAsia="Times New Roman"/>
                <w:b/>
                <w:sz w:val="20"/>
                <w:szCs w:val="20"/>
                <w:highlight w:val="none"/>
              </w:rPr>
            </w:r>
            <w:r>
              <w:rPr>
                <w:sz w:val="20"/>
                <w:szCs w:val="20"/>
                <w:highlight w:val="none"/>
              </w:rPr>
            </w:r>
            <w:r>
              <w:rPr>
                <w:rFonts w:eastAsia="Times New Roman"/>
                <w:b/>
                <w:sz w:val="20"/>
                <w:szCs w:val="20"/>
                <w:highlight w:val="none"/>
              </w:rPr>
            </w:r>
          </w:p>
          <w:p>
            <w:pPr>
              <w:pBdr/>
              <w:spacing/>
              <w:ind/>
              <w:jc w:val="center"/>
              <w:rPr>
                <w:rFonts w:eastAsia="Times New Roman"/>
                <w:b/>
                <w:bCs/>
                <w:sz w:val="20"/>
                <w:szCs w:val="20"/>
                <w:highlight w:val="none"/>
              </w:rPr>
            </w:pPr>
            <w:r>
              <w:rPr>
                <w:rFonts w:eastAsia="Times New Roman"/>
                <w:b/>
                <w:sz w:val="20"/>
                <w:szCs w:val="20"/>
                <w:highlight w:val="none"/>
              </w:rPr>
              <w:t xml:space="preserve">Предложение о цене, руб.</w:t>
            </w:r>
            <w:r>
              <w:rPr>
                <w:sz w:val="20"/>
                <w:szCs w:val="20"/>
                <w:highlight w:val="none"/>
              </w:rPr>
            </w:r>
            <w:r>
              <w:rPr>
                <w:rFonts w:eastAsia="Times New Roman"/>
                <w:b/>
                <w:bCs/>
                <w:sz w:val="20"/>
                <w:szCs w:val="20"/>
                <w:highlight w:val="none"/>
              </w:rPr>
            </w:r>
          </w:p>
        </w:tc>
        <w:tc>
          <w:tcPr>
            <w:tcBorders/>
            <w:tcW w:w="1317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Times New Roman"/>
                <w:b/>
                <w:bCs/>
                <w:sz w:val="20"/>
                <w:szCs w:val="20"/>
                <w:highlight w:val="none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highlight w:val="none"/>
              </w:rPr>
            </w:r>
            <w:r>
              <w:rPr>
                <w:rFonts w:eastAsia="Times New Roman"/>
                <w:b/>
                <w:sz w:val="20"/>
                <w:szCs w:val="20"/>
                <w:highlight w:val="none"/>
                <w:lang w:eastAsia="ru-RU"/>
              </w:rPr>
              <w:t xml:space="preserve">Предложение о цене с учетом преимуществ по ст. 28, 29 №44-ФЗ</w:t>
            </w:r>
            <w:r>
              <w:rPr>
                <w:rFonts w:eastAsia="Times New Roman"/>
                <w:b/>
                <w:bCs/>
                <w:sz w:val="20"/>
                <w:szCs w:val="20"/>
                <w:highlight w:val="none"/>
              </w:rPr>
            </w:r>
            <w:r>
              <w:rPr>
                <w:rFonts w:eastAsia="Times New Roman"/>
                <w:b/>
                <w:bCs/>
                <w:sz w:val="20"/>
                <w:szCs w:val="20"/>
                <w:highlight w:val="none"/>
              </w:rPr>
            </w:r>
          </w:p>
        </w:tc>
        <w:tc>
          <w:tcPr>
            <w:tcBorders/>
            <w:tcW w:w="987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Times New Roman"/>
                <w:b/>
                <w:sz w:val="20"/>
                <w:szCs w:val="20"/>
                <w:highlight w:val="none"/>
              </w:rPr>
            </w:pPr>
            <w:r>
              <w:rPr>
                <w:rFonts w:eastAsia="Times New Roman"/>
                <w:b/>
                <w:sz w:val="20"/>
                <w:szCs w:val="20"/>
                <w:highlight w:val="none"/>
              </w:rPr>
            </w:r>
            <w:r>
              <w:rPr>
                <w:sz w:val="20"/>
                <w:szCs w:val="20"/>
                <w:highlight w:val="none"/>
              </w:rPr>
            </w:r>
            <w:r>
              <w:rPr>
                <w:rFonts w:eastAsia="Times New Roman"/>
                <w:b/>
                <w:sz w:val="20"/>
                <w:szCs w:val="20"/>
                <w:highlight w:val="none"/>
              </w:rPr>
            </w:r>
          </w:p>
          <w:p>
            <w:pPr>
              <w:pBdr/>
              <w:spacing/>
              <w:ind/>
              <w:jc w:val="center"/>
              <w:rPr>
                <w:rFonts w:eastAsia="Times New Roman"/>
                <w:b/>
                <w:sz w:val="20"/>
                <w:szCs w:val="20"/>
                <w:highlight w:val="none"/>
              </w:rPr>
            </w:pPr>
            <w:r>
              <w:rPr>
                <w:rFonts w:eastAsia="Times New Roman"/>
                <w:b/>
                <w:sz w:val="20"/>
                <w:szCs w:val="20"/>
                <w:highlight w:val="none"/>
              </w:rPr>
              <w:t xml:space="preserve">Снижение цены, %</w:t>
            </w:r>
            <w:r>
              <w:rPr>
                <w:sz w:val="20"/>
                <w:szCs w:val="20"/>
                <w:highlight w:val="none"/>
              </w:rPr>
            </w:r>
            <w:r>
              <w:rPr>
                <w:rFonts w:eastAsia="Times New Roman"/>
                <w:b/>
                <w:sz w:val="20"/>
                <w:szCs w:val="20"/>
                <w:highlight w:val="none"/>
              </w:rPr>
            </w:r>
          </w:p>
        </w:tc>
        <w:tc>
          <w:tcPr>
            <w:tcBorders/>
            <w:tcW w:w="987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Times New Roman"/>
                <w:b/>
                <w:sz w:val="20"/>
                <w:szCs w:val="20"/>
                <w:highlight w:val="none"/>
              </w:rPr>
            </w:pPr>
            <w:r>
              <w:rPr>
                <w:rFonts w:eastAsia="Times New Roman"/>
                <w:b/>
                <w:sz w:val="20"/>
                <w:szCs w:val="20"/>
                <w:highlight w:val="none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sz w:val="20"/>
                <w:szCs w:val="20"/>
                <w:highlight w:val="none"/>
              </w:rPr>
            </w:r>
            <w:r>
              <w:rPr>
                <w:rFonts w:eastAsia="Times New Roman"/>
                <w:b/>
                <w:sz w:val="20"/>
                <w:szCs w:val="20"/>
                <w:highlight w:val="none"/>
              </w:rPr>
            </w:r>
          </w:p>
        </w:tc>
      </w:tr>
      <w:tr>
        <w:trPr>
          <w:trHeight w:val="504"/>
        </w:trPr>
        <w:tc>
          <w:tcPr>
            <w:tcBorders/>
            <w:tcW w:w="1123" w:type="dxa"/>
            <w:vAlign w:val="center"/>
            <w:textDirection w:val="lrTb"/>
            <w:noWrap w:val="false"/>
          </w:tcPr>
          <w:p>
            <w:pPr>
              <w:pBdr/>
              <w:spacing w:before="60"/>
              <w:ind/>
              <w:jc w:val="center"/>
              <w:rPr>
                <w:rFonts w:eastAsia="Times New Roman"/>
                <w:sz w:val="20"/>
                <w:szCs w:val="20"/>
                <w:highlight w:val="none"/>
              </w:rPr>
            </w:pPr>
            <w:r>
              <w:rPr>
                <w:rFonts w:eastAsia="Times New Roman"/>
                <w:sz w:val="20"/>
                <w:szCs w:val="20"/>
                <w:highlight w:val="none"/>
              </w:rPr>
              <w:t xml:space="preserve">1</w:t>
            </w:r>
            <w:r>
              <w:rPr>
                <w:sz w:val="20"/>
                <w:szCs w:val="20"/>
                <w:highlight w:val="none"/>
              </w:rPr>
            </w:r>
            <w:r>
              <w:rPr>
                <w:rFonts w:eastAsia="Times New Roman"/>
                <w:sz w:val="20"/>
                <w:szCs w:val="20"/>
                <w:highlight w:val="none"/>
              </w:rPr>
            </w:r>
          </w:p>
        </w:tc>
        <w:tc>
          <w:tcPr>
            <w:tcBorders/>
            <w:tcW w:w="1291" w:type="dxa"/>
            <w:vAlign w:val="center"/>
            <w:textDirection w:val="lrTb"/>
            <w:noWrap w:val="false"/>
          </w:tcPr>
          <w:p>
            <w:pPr>
              <w:pBdr/>
              <w:spacing w:before="60"/>
              <w:ind/>
              <w:jc w:val="center"/>
              <w:rPr>
                <w:rFonts w:eastAsia="Times New Roman"/>
                <w:sz w:val="20"/>
                <w:szCs w:val="20"/>
                <w:highlight w:val="none"/>
              </w:rPr>
            </w:pPr>
            <w:r>
              <w:rPr>
                <w:rFonts w:eastAsia="Times New Roman"/>
                <w:sz w:val="20"/>
                <w:szCs w:val="20"/>
                <w:highlight w:val="none"/>
              </w:rPr>
              <w:t xml:space="preserve">1</w:t>
            </w:r>
            <w:r>
              <w:rPr>
                <w:sz w:val="20"/>
                <w:szCs w:val="20"/>
                <w:highlight w:val="none"/>
              </w:rPr>
            </w:r>
            <w:r>
              <w:rPr>
                <w:rFonts w:eastAsia="Times New Roman"/>
                <w:sz w:val="20"/>
                <w:szCs w:val="20"/>
                <w:highlight w:val="none"/>
              </w:rPr>
            </w:r>
          </w:p>
          <w:p>
            <w:pPr>
              <w:pBdr/>
              <w:spacing w:before="60"/>
              <w:ind/>
              <w:jc w:val="center"/>
              <w:rPr>
                <w:rFonts w:eastAsia="Times New Roman"/>
                <w:sz w:val="20"/>
                <w:szCs w:val="20"/>
                <w:highlight w:val="none"/>
              </w:rPr>
            </w:pPr>
            <w:r>
              <w:rPr>
                <w:rFonts w:eastAsia="Times New Roman"/>
                <w:sz w:val="20"/>
                <w:szCs w:val="20"/>
                <w:highlight w:val="none"/>
              </w:rPr>
              <w:t xml:space="preserve">23.06.2026 10:45:55 (MSK+00:00)</w:t>
            </w:r>
            <w:r>
              <w:rPr>
                <w:sz w:val="20"/>
                <w:szCs w:val="20"/>
                <w:highlight w:val="none"/>
              </w:rPr>
            </w:r>
            <w:r>
              <w:rPr>
                <w:rFonts w:eastAsia="Times New Roman"/>
                <w:sz w:val="20"/>
                <w:szCs w:val="20"/>
                <w:highlight w:val="none"/>
              </w:rPr>
            </w:r>
          </w:p>
        </w:tc>
        <w:tc>
          <w:tcPr>
            <w:tcBorders/>
            <w:tcW w:w="1098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Times New Roman"/>
                <w:sz w:val="20"/>
                <w:szCs w:val="20"/>
                <w:highlight w:val="none"/>
              </w:rPr>
            </w:pPr>
            <w:r>
              <w:rPr>
                <w:rFonts w:eastAsia="Times New Roman"/>
                <w:sz w:val="20"/>
                <w:szCs w:val="20"/>
                <w:highlight w:val="none"/>
              </w:rPr>
              <w:t xml:space="preserve">Соответствует</w:t>
            </w:r>
            <w:r>
              <w:rPr>
                <w:sz w:val="20"/>
                <w:szCs w:val="20"/>
                <w:highlight w:val="none"/>
              </w:rPr>
            </w:r>
            <w:r>
              <w:rPr>
                <w:rFonts w:eastAsia="Times New Roman"/>
                <w:sz w:val="20"/>
                <w:szCs w:val="20"/>
                <w:highlight w:val="none"/>
              </w:rPr>
            </w:r>
          </w:p>
        </w:tc>
        <w:tc>
          <w:tcPr>
            <w:tcBorders/>
            <w:tcW w:w="2020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Times New Roman"/>
                <w:sz w:val="20"/>
                <w:szCs w:val="20"/>
                <w:highlight w:val="none"/>
              </w:rPr>
            </w:pPr>
            <w:r>
              <w:rPr>
                <w:rFonts w:eastAsia="Times New Roman"/>
                <w:sz w:val="20"/>
                <w:szCs w:val="20"/>
                <w:highlight w:val="none"/>
              </w:rPr>
              <w:t xml:space="preserve"/>
            </w:r>
            <w:r>
              <w:rPr>
                <w:sz w:val="20"/>
                <w:szCs w:val="20"/>
                <w:highlight w:val="none"/>
              </w:rPr>
            </w:r>
            <w:r>
              <w:rPr>
                <w:rFonts w:eastAsia="Times New Roman"/>
                <w:sz w:val="20"/>
                <w:szCs w:val="20"/>
                <w:highlight w:val="none"/>
              </w:rPr>
            </w:r>
          </w:p>
        </w:tc>
        <w:tc>
          <w:tcPr>
            <w:tcBorders/>
            <w:tcW w:w="1383" w:type="dxa"/>
            <w:vAlign w:val="center"/>
            <w:textDirection w:val="lrTb"/>
            <w:noWrap w:val="false"/>
          </w:tcPr>
          <w:p>
            <w:pPr>
              <w:pBdr/>
              <w:spacing w:before="60"/>
              <w:ind/>
              <w:jc w:val="center"/>
              <w:rPr>
                <w:rFonts w:eastAsia="Times New Roman"/>
                <w:sz w:val="20"/>
                <w:szCs w:val="20"/>
                <w:highlight w:val="none"/>
              </w:rPr>
            </w:pPr>
            <w:r>
              <w:rPr>
                <w:sz w:val="20"/>
                <w:szCs w:val="20"/>
                <w:highlight w:val="none"/>
              </w:rPr>
              <w:t xml:space="preserve">490 000.00</w:t>
            </w:r>
            <w:r>
              <w:rPr>
                <w:sz w:val="20"/>
                <w:szCs w:val="20"/>
                <w:highlight w:val="none"/>
              </w:rPr>
            </w:r>
            <w:r>
              <w:rPr>
                <w:rFonts w:eastAsia="Times New Roman"/>
                <w:sz w:val="20"/>
                <w:szCs w:val="20"/>
                <w:highlight w:val="none"/>
              </w:rPr>
            </w:r>
          </w:p>
        </w:tc>
        <w:tc>
          <w:tcPr>
            <w:tcBorders/>
            <w:tcW w:w="1317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20"/>
                <w:szCs w:val="20"/>
                <w:highlight w:val="none"/>
              </w:rPr>
            </w:pPr>
            <w:r>
              <w:rPr>
                <w:sz w:val="20"/>
                <w:szCs w:val="20"/>
                <w:highlight w:val="none"/>
              </w:rPr>
            </w:r>
            <w:r>
              <w:rPr>
                <w:sz w:val="20"/>
                <w:szCs w:val="20"/>
                <w:highlight w:val="none"/>
                <w:lang w:eastAsia="ru-RU"/>
              </w:rPr>
              <w:t xml:space="preserve"/>
            </w:r>
            <w:r>
              <w:rPr>
                <w:sz w:val="20"/>
                <w:szCs w:val="20"/>
                <w:highlight w:val="none"/>
              </w:rPr>
            </w:r>
            <w:r>
              <w:rPr>
                <w:sz w:val="20"/>
                <w:szCs w:val="20"/>
                <w:highlight w:val="none"/>
              </w:rPr>
            </w:r>
          </w:p>
        </w:tc>
        <w:tc>
          <w:tcPr>
            <w:tcBorders/>
            <w:tcW w:w="987" w:type="dxa"/>
            <w:vAlign w:val="center"/>
            <w:textDirection w:val="lrTb"/>
            <w:noWrap w:val="false"/>
          </w:tcPr>
          <w:p>
            <w:pPr>
              <w:pBdr/>
              <w:spacing w:before="60"/>
              <w:ind/>
              <w:jc w:val="center"/>
              <w:rPr>
                <w:rFonts w:eastAsia="Times New Roman"/>
                <w:sz w:val="20"/>
                <w:szCs w:val="20"/>
                <w:highlight w:val="none"/>
              </w:rPr>
            </w:pPr>
            <w:r>
              <w:rPr>
                <w:sz w:val="20"/>
                <w:szCs w:val="20"/>
                <w:highlight w:val="none"/>
              </w:rPr>
              <w:t xml:space="preserve">- 0.69 %</w:t>
            </w:r>
            <w:r>
              <w:rPr>
                <w:sz w:val="20"/>
                <w:szCs w:val="20"/>
                <w:highlight w:val="none"/>
              </w:rPr>
            </w:r>
            <w:r>
              <w:rPr>
                <w:rFonts w:eastAsia="Times New Roman"/>
                <w:sz w:val="20"/>
                <w:szCs w:val="20"/>
                <w:highlight w:val="none"/>
              </w:rPr>
            </w:r>
          </w:p>
        </w:tc>
        <w:tc>
          <w:tcPr>
            <w:tcBorders/>
            <w:tcW w:w="987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20"/>
                <w:szCs w:val="20"/>
                <w:highlight w:val="none"/>
              </w:rPr>
            </w:pPr>
            <w:r>
              <w:rPr>
                <w:sz w:val="20"/>
                <w:szCs w:val="20"/>
                <w:highlight w:val="none"/>
              </w:rPr>
              <w:t xml:space="preserve">1</w:t>
            </w:r>
            <w:r>
              <w:rPr>
                <w:sz w:val="20"/>
                <w:szCs w:val="20"/>
                <w:highlight w:val="none"/>
              </w:rPr>
            </w:r>
            <w:r>
              <w:rPr>
                <w:sz w:val="20"/>
                <w:szCs w:val="20"/>
                <w:highlight w:val="none"/>
              </w:rPr>
            </w:r>
          </w:p>
        </w:tc>
      </w:tr>
    </w:tbl>
    <w:p>
      <w:pPr>
        <w:pStyle w:val="881"/>
        <w:widowControl w:val="false"/>
        <w:numPr>
          <w:ilvl w:val="0"/>
          <w:numId w:val="13"/>
        </w:numPr>
        <w:pBdr/>
        <w:spacing w:after="0" w:before="60" w:line="240" w:lineRule="auto"/>
        <w:ind w:firstLine="0" w:left="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Петрова Саина Иннокентьевна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81"/>
        <w:keepNext w:val="true"/>
        <w:widowControl w:val="false"/>
        <w:numPr>
          <w:ilvl w:val="0"/>
          <w:numId w:val="13"/>
        </w:numPr>
        <w:pBdr/>
        <w:spacing w:after="0" w:before="60" w:line="240" w:lineRule="auto"/>
        <w:ind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</w:p>
    <w:p>
      <w:pPr>
        <w:pStyle w:val="881"/>
        <w:keepNext w:val="true"/>
        <w:widowControl w:val="false"/>
        <w:numPr>
          <w:ilvl w:val="0"/>
          <w:numId w:val="13"/>
        </w:numPr>
        <w:pBdr/>
        <w:spacing w:after="0" w:before="60" w:line="240" w:lineRule="auto"/>
        <w:ind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http://www.etp-ets.ru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</w:p>
    <w:p>
      <w:pPr>
        <w:keepNext w:val="true"/>
        <w:widowControl w:val="false"/>
        <w:pBdr/>
        <w:spacing w:after="0" w:before="60" w:line="240" w:lineRule="auto"/>
        <w:ind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Петрова Саина Иннокентьевна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00:D1:9B:09:48:E1:2D:80:32:F1:2B:0E:1C:13:5A:1F:81, действителен с 15.08.2025 00:18:10 по 08.11.2026 00:18:10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09:34:05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Афанасьева Диана Радомировна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2A:94:85:86:45:2D:81:AF:98:18:96:E6:EC:15:A9:93, действителен с 23.12.2025 00:59:22 по 18.03.2027 00:59:22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09:41:56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Нестерова Варвара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00:A4:3A:28:A0:AA:67:FD:EF:D7:01:83:53:03:B7:97:A0, действителен с 28.04.2025 01:09:27 по 22.07.2026 01:09:27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09:48:28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Петрова Саина Иннокентьевна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00:D1:9B:09:48:E1:2D:80:32:F1:2B:0E:1C:13:5A:1F:81, действителен с 15.08.2025 00:18:10 по 08.11.2026 00:18:10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10:02:44 МСК</w:t>
      </w:r>
    </w:p>
    <w:sectPr>
      <w:footnotePr/>
      <w:endnotePr/>
      <w:type w:val="nextPage"/>
      <w:pgSz w:h="16838" w:orient="portrait" w:w="11906"/>
      <w:pgMar w:top="1134" w:right="850" w:bottom="1134" w:left="993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umStyleLink w:val="883"/>
    <w:lvl w:ilvl="0">
      <w:isLgl w:val="false"/>
      <w:lvlJc w:val="left"/>
      <w:lvlText w:val="·"/>
      <w:numFmt w:val="bullet"/>
      <w:pPr>
        <w:pBdr/>
        <w:spacing/>
        <w:ind w:hanging="360" w:left="720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">
    <w:numStyleLink w:val="883"/>
    <w:lvl w:ilvl="0">
      <w:isLgl w:val="false"/>
      <w:lvlJc w:val="left"/>
      <w:lvlText w:val="·"/>
      <w:numFmt w:val="bullet"/>
      <w:pPr>
        <w:pBdr/>
        <w:spacing/>
        <w:ind w:hanging="360" w:left="720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rFonts w:hint="default"/>
        <w:color w:val="auto"/>
      </w:rPr>
      <w:start w:val="1"/>
      <w:suff w:val="tab"/>
    </w:lvl>
    <w:lvl w:ilvl="1">
      <w:isLgl w:val="false"/>
      <w:lvlJc w:val="left"/>
      <w:lvlText w:val="%2)"/>
      <w:numFmt w:val="lowerLetter"/>
      <w:pPr>
        <w:pBdr/>
        <w:spacing/>
        <w:ind w:hanging="360" w:left="720"/>
      </w:pPr>
      <w:rPr>
        <w:rFonts w:hint="default"/>
      </w:rPr>
      <w:start w:val="1"/>
      <w:suff w:val="tab"/>
    </w:lvl>
    <w:lvl w:ilvl="2">
      <w:isLgl w:val="false"/>
      <w:lvlJc w:val="left"/>
      <w:lvlText w:val="%3)"/>
      <w:numFmt w:val="lowerRoman"/>
      <w:pPr>
        <w:pBdr/>
        <w:spacing/>
        <w:ind w:hanging="360" w:left="1080"/>
      </w:pPr>
      <w:rPr>
        <w:rFonts w:hint="default"/>
      </w:rPr>
      <w:start w:val="1"/>
      <w:suff w:val="tab"/>
    </w:lvl>
    <w:lvl w:ilvl="3">
      <w:isLgl w:val="false"/>
      <w:lvlJc w:val="left"/>
      <w:lvlText w:val="(%4)"/>
      <w:numFmt w:val="decimal"/>
      <w:pPr>
        <w:pBdr/>
        <w:spacing/>
        <w:ind w:hanging="360" w:left="1440"/>
      </w:pPr>
      <w:rPr>
        <w:rFonts w:hint="default"/>
      </w:rPr>
      <w:start w:val="1"/>
      <w:suff w:val="tab"/>
    </w:lvl>
    <w:lvl w:ilvl="4">
      <w:isLgl w:val="false"/>
      <w:lvlJc w:val="left"/>
      <w:lvlText w:val="(%5)"/>
      <w:numFmt w:val="lowerLetter"/>
      <w:pPr>
        <w:pBdr/>
        <w:spacing/>
        <w:ind w:hanging="360" w:left="1800"/>
      </w:pPr>
      <w:rPr>
        <w:rFonts w:hint="default"/>
      </w:rPr>
      <w:start w:val="1"/>
      <w:suff w:val="tab"/>
    </w:lvl>
    <w:lvl w:ilvl="5">
      <w:isLgl w:val="false"/>
      <w:lvlJc w:val="left"/>
      <w:lvlText w:val="(%6)"/>
      <w:numFmt w:val="lowerRoman"/>
      <w:pPr>
        <w:pBdr/>
        <w:spacing/>
        <w:ind w:hanging="360" w:left="2160"/>
      </w:pPr>
      <w:rPr>
        <w:rFonts w:hint="default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2520"/>
      </w:pPr>
      <w:rPr>
        <w:rFonts w:hint="default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2880"/>
      </w:pPr>
      <w:rPr>
        <w:rFonts w:hint="default"/>
      </w:rPr>
      <w:start w:val="1"/>
      <w:suff w:val="tab"/>
    </w:lvl>
    <w:lvl w:ilvl="8">
      <w:isLgl w:val="false"/>
      <w:lvlJc w:val="left"/>
      <w:lvlText w:val="%9."/>
      <w:numFmt w:val="lowerRoman"/>
      <w:pPr>
        <w:pBdr/>
        <w:spacing/>
        <w:ind w:hanging="360" w:left="3240"/>
      </w:pPr>
      <w:rPr>
        <w:rFonts w:hint="default"/>
      </w:rPr>
      <w:start w:val="1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int="default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5">
    <w:lvl w:ilvl="0">
      <w:isLgl w:val="false"/>
      <w:lvlJc w:val="left"/>
      <w:lvlText/>
      <w:numFmt w:val="none"/>
      <w:pPr>
        <w:pBdr/>
        <w:tabs>
          <w:tab w:val="num" w:leader="none" w:pos="360"/>
        </w:tabs>
        <w:spacing/>
        <w:ind w:firstLine="0" w:left="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7">
    <w:numStyleLink w:val="883"/>
    <w:lvl w:ilvl="0">
      <w:isLgl w:val="false"/>
      <w:lvlJc w:val="left"/>
      <w:lvlText w:val="·"/>
      <w:numFmt w:val="bullet"/>
      <w:pPr>
        <w:pBdr/>
        <w:spacing/>
        <w:ind w:hanging="360" w:left="720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8">
    <w:numStyleLink w:val="883"/>
    <w:lvl w:ilvl="0">
      <w:isLgl w:val="false"/>
      <w:lvlJc w:val="left"/>
      <w:lvlText w:val="·"/>
      <w:numFmt w:val="bullet"/>
      <w:pPr>
        <w:pBdr/>
        <w:spacing/>
        <w:ind w:hanging="360" w:left="720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b w:val="0"/>
        <w:i w:val="0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0">
    <w:styleLink w:val="883"/>
    <w:lvl w:ilvl="0">
      <w:isLgl w:val="false"/>
      <w:lvlJc w:val="left"/>
      <w:lvlText w:val="%1."/>
      <w:numFmt w:val="decimal"/>
      <w:pPr>
        <w:pBdr/>
        <w:spacing/>
        <w:ind w:hanging="357" w:left="357"/>
      </w:pPr>
      <w:pStyle w:val="883"/>
      <w:rPr>
        <w:rFonts w:hint="default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hint="default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>
        <w:rFonts w:hint="default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hint="default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hint="default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>
        <w:rFonts w:hint="default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hint="default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hint="default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>
        <w:rFonts w:hint="default"/>
      </w:rPr>
      <w:start w:val="1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b w:val="0"/>
        <w:i w:val="0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2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b w:val="0"/>
        <w:i w:val="0"/>
        <w:color w:val="00000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3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b w:val="0"/>
        <w:i w:val="0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4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b w:val="0"/>
        <w:i w:val="0"/>
        <w:color w:val="00000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pBdr/>
        <w:spacing w:after="200" w:afterAutospacing="0" w:before="0" w:beforeAutospacing="0" w:line="276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84">
    <w:name w:val="Heading 1 Char"/>
    <w:basedOn w:val="711"/>
    <w:link w:val="702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character" w:styleId="685">
    <w:name w:val="Heading 2 Char"/>
    <w:basedOn w:val="711"/>
    <w:link w:val="703"/>
    <w:uiPriority w:val="9"/>
    <w:pPr>
      <w:pBdr/>
      <w:spacing/>
      <w:ind/>
    </w:pPr>
    <w:rPr>
      <w:rFonts w:ascii="Arial" w:hAnsi="Arial" w:eastAsia="Arial" w:cs="Arial"/>
      <w:sz w:val="34"/>
    </w:rPr>
  </w:style>
  <w:style w:type="character" w:styleId="686">
    <w:name w:val="Heading 3 Char"/>
    <w:basedOn w:val="711"/>
    <w:link w:val="704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character" w:styleId="687">
    <w:name w:val="Heading 4 Char"/>
    <w:basedOn w:val="711"/>
    <w:link w:val="705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character" w:styleId="688">
    <w:name w:val="Heading 5 Char"/>
    <w:basedOn w:val="711"/>
    <w:link w:val="706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character" w:styleId="689">
    <w:name w:val="Heading 6 Char"/>
    <w:basedOn w:val="711"/>
    <w:link w:val="707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character" w:styleId="690">
    <w:name w:val="Heading 7 Char"/>
    <w:basedOn w:val="711"/>
    <w:link w:val="708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91">
    <w:name w:val="Heading 8 Char"/>
    <w:basedOn w:val="711"/>
    <w:link w:val="709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character" w:styleId="692">
    <w:name w:val="Heading 9 Char"/>
    <w:basedOn w:val="711"/>
    <w:link w:val="710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character" w:styleId="693">
    <w:name w:val="Title Char"/>
    <w:basedOn w:val="711"/>
    <w:link w:val="723"/>
    <w:uiPriority w:val="10"/>
    <w:pPr>
      <w:pBdr/>
      <w:spacing/>
      <w:ind/>
    </w:pPr>
    <w:rPr>
      <w:sz w:val="48"/>
      <w:szCs w:val="48"/>
    </w:rPr>
  </w:style>
  <w:style w:type="character" w:styleId="694">
    <w:name w:val="Subtitle Char"/>
    <w:basedOn w:val="711"/>
    <w:link w:val="725"/>
    <w:uiPriority w:val="11"/>
    <w:pPr>
      <w:pBdr/>
      <w:spacing/>
      <w:ind/>
    </w:pPr>
    <w:rPr>
      <w:sz w:val="24"/>
      <w:szCs w:val="24"/>
    </w:rPr>
  </w:style>
  <w:style w:type="character" w:styleId="695">
    <w:name w:val="Quote Char"/>
    <w:link w:val="727"/>
    <w:uiPriority w:val="29"/>
    <w:pPr>
      <w:pBdr/>
      <w:spacing/>
      <w:ind/>
    </w:pPr>
    <w:rPr>
      <w:i/>
    </w:rPr>
  </w:style>
  <w:style w:type="character" w:styleId="696">
    <w:name w:val="Intense Quote Char"/>
    <w:link w:val="729"/>
    <w:uiPriority w:val="30"/>
    <w:pPr>
      <w:pBdr/>
      <w:spacing/>
      <w:ind/>
    </w:pPr>
    <w:rPr>
      <w:i/>
    </w:rPr>
  </w:style>
  <w:style w:type="character" w:styleId="697">
    <w:name w:val="Header Char"/>
    <w:basedOn w:val="711"/>
    <w:link w:val="731"/>
    <w:uiPriority w:val="99"/>
    <w:pPr>
      <w:pBdr/>
      <w:spacing/>
      <w:ind/>
    </w:pPr>
  </w:style>
  <w:style w:type="character" w:styleId="698">
    <w:name w:val="Caption Char"/>
    <w:basedOn w:val="735"/>
    <w:link w:val="733"/>
    <w:uiPriority w:val="99"/>
    <w:pPr>
      <w:pBdr/>
      <w:spacing/>
      <w:ind/>
    </w:pPr>
  </w:style>
  <w:style w:type="character" w:styleId="699">
    <w:name w:val="Footnote Text Char"/>
    <w:link w:val="862"/>
    <w:uiPriority w:val="99"/>
    <w:pPr>
      <w:pBdr/>
      <w:spacing/>
      <w:ind/>
    </w:pPr>
    <w:rPr>
      <w:sz w:val="18"/>
    </w:rPr>
  </w:style>
  <w:style w:type="character" w:styleId="700">
    <w:name w:val="Endnote Text Char"/>
    <w:link w:val="865"/>
    <w:uiPriority w:val="99"/>
    <w:pPr>
      <w:pBdr/>
      <w:spacing/>
      <w:ind/>
    </w:pPr>
    <w:rPr>
      <w:sz w:val="20"/>
    </w:rPr>
  </w:style>
  <w:style w:type="paragraph" w:styleId="701" w:default="1">
    <w:name w:val="Normal"/>
    <w:qFormat/>
    <w:pPr>
      <w:pBdr/>
      <w:spacing/>
      <w:ind/>
    </w:pPr>
    <w:rPr>
      <w:rFonts w:ascii="Times New Roman" w:hAnsi="Times New Roman" w:eastAsia="Calibri" w:cs="Times New Roman"/>
    </w:rPr>
  </w:style>
  <w:style w:type="paragraph" w:styleId="702">
    <w:name w:val="Heading 1"/>
    <w:basedOn w:val="701"/>
    <w:next w:val="701"/>
    <w:link w:val="714"/>
    <w:uiPriority w:val="9"/>
    <w:qFormat/>
    <w:pPr>
      <w:keepNext w:val="true"/>
      <w:keepLines w:val="true"/>
      <w:pBdr/>
      <w:spacing w:before="480"/>
      <w:ind/>
      <w:outlineLvl w:val="0"/>
    </w:pPr>
    <w:rPr>
      <w:rFonts w:ascii="Arial" w:hAnsi="Arial" w:eastAsia="Arial" w:cs="Arial"/>
      <w:sz w:val="40"/>
      <w:szCs w:val="40"/>
    </w:rPr>
  </w:style>
  <w:style w:type="paragraph" w:styleId="703">
    <w:name w:val="Heading 2"/>
    <w:basedOn w:val="701"/>
    <w:next w:val="701"/>
    <w:link w:val="715"/>
    <w:uiPriority w:val="9"/>
    <w:unhideWhenUsed/>
    <w:qFormat/>
    <w:pPr>
      <w:keepNext w:val="true"/>
      <w:keepLines w:val="true"/>
      <w:pBdr/>
      <w:spacing w:before="360"/>
      <w:ind/>
      <w:outlineLvl w:val="1"/>
    </w:pPr>
    <w:rPr>
      <w:rFonts w:ascii="Arial" w:hAnsi="Arial" w:eastAsia="Arial" w:cs="Arial"/>
      <w:sz w:val="34"/>
    </w:rPr>
  </w:style>
  <w:style w:type="paragraph" w:styleId="704">
    <w:name w:val="Heading 3"/>
    <w:basedOn w:val="701"/>
    <w:next w:val="701"/>
    <w:link w:val="716"/>
    <w:uiPriority w:val="9"/>
    <w:unhideWhenUsed/>
    <w:qFormat/>
    <w:pPr>
      <w:keepNext w:val="true"/>
      <w:keepLines w:val="true"/>
      <w:pBdr/>
      <w:spacing w:before="320"/>
      <w:ind/>
      <w:outlineLvl w:val="2"/>
    </w:pPr>
    <w:rPr>
      <w:rFonts w:ascii="Arial" w:hAnsi="Arial" w:eastAsia="Arial" w:cs="Arial"/>
      <w:sz w:val="30"/>
      <w:szCs w:val="30"/>
    </w:rPr>
  </w:style>
  <w:style w:type="paragraph" w:styleId="705">
    <w:name w:val="Heading 4"/>
    <w:basedOn w:val="701"/>
    <w:next w:val="701"/>
    <w:link w:val="717"/>
    <w:uiPriority w:val="9"/>
    <w:unhideWhenUsed/>
    <w:qFormat/>
    <w:pPr>
      <w:keepNext w:val="true"/>
      <w:keepLines w:val="true"/>
      <w:pBdr/>
      <w:spacing w:before="320"/>
      <w:ind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06">
    <w:name w:val="Heading 5"/>
    <w:basedOn w:val="701"/>
    <w:next w:val="701"/>
    <w:link w:val="718"/>
    <w:uiPriority w:val="9"/>
    <w:unhideWhenUsed/>
    <w:qFormat/>
    <w:pPr>
      <w:keepNext w:val="true"/>
      <w:keepLines w:val="true"/>
      <w:pBdr/>
      <w:spacing w:before="320"/>
      <w:ind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07">
    <w:name w:val="Heading 6"/>
    <w:basedOn w:val="701"/>
    <w:next w:val="701"/>
    <w:link w:val="719"/>
    <w:uiPriority w:val="9"/>
    <w:unhideWhenUsed/>
    <w:qFormat/>
    <w:pPr>
      <w:keepNext w:val="true"/>
      <w:keepLines w:val="true"/>
      <w:pBdr/>
      <w:spacing w:before="320"/>
      <w:ind/>
      <w:outlineLvl w:val="5"/>
    </w:pPr>
    <w:rPr>
      <w:rFonts w:ascii="Arial" w:hAnsi="Arial" w:eastAsia="Arial" w:cs="Arial"/>
      <w:b/>
      <w:bCs/>
    </w:rPr>
  </w:style>
  <w:style w:type="paragraph" w:styleId="708">
    <w:name w:val="Heading 7"/>
    <w:basedOn w:val="701"/>
    <w:next w:val="701"/>
    <w:link w:val="720"/>
    <w:uiPriority w:val="9"/>
    <w:unhideWhenUsed/>
    <w:qFormat/>
    <w:pPr>
      <w:keepNext w:val="true"/>
      <w:keepLines w:val="true"/>
      <w:pBdr/>
      <w:spacing w:before="320"/>
      <w:ind/>
      <w:outlineLvl w:val="6"/>
    </w:pPr>
    <w:rPr>
      <w:rFonts w:ascii="Arial" w:hAnsi="Arial" w:eastAsia="Arial" w:cs="Arial"/>
      <w:b/>
      <w:bCs/>
      <w:i/>
      <w:iCs/>
    </w:rPr>
  </w:style>
  <w:style w:type="paragraph" w:styleId="709">
    <w:name w:val="Heading 8"/>
    <w:basedOn w:val="701"/>
    <w:next w:val="701"/>
    <w:link w:val="721"/>
    <w:uiPriority w:val="9"/>
    <w:unhideWhenUsed/>
    <w:qFormat/>
    <w:pPr>
      <w:keepNext w:val="true"/>
      <w:keepLines w:val="true"/>
      <w:pBdr/>
      <w:spacing w:before="320"/>
      <w:ind/>
      <w:outlineLvl w:val="7"/>
    </w:pPr>
    <w:rPr>
      <w:rFonts w:ascii="Arial" w:hAnsi="Arial" w:eastAsia="Arial" w:cs="Arial"/>
      <w:i/>
      <w:iCs/>
    </w:rPr>
  </w:style>
  <w:style w:type="paragraph" w:styleId="710">
    <w:name w:val="Heading 9"/>
    <w:basedOn w:val="701"/>
    <w:next w:val="701"/>
    <w:link w:val="722"/>
    <w:uiPriority w:val="9"/>
    <w:unhideWhenUsed/>
    <w:qFormat/>
    <w:pPr>
      <w:keepNext w:val="true"/>
      <w:keepLines w:val="true"/>
      <w:pBdr/>
      <w:spacing w:before="320"/>
      <w:ind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11" w:default="1">
    <w:name w:val="Default Paragraph Font"/>
    <w:uiPriority w:val="1"/>
    <w:semiHidden/>
    <w:unhideWhenUsed/>
    <w:pPr>
      <w:pBdr/>
      <w:spacing/>
      <w:ind/>
    </w:pPr>
  </w:style>
  <w:style w:type="table" w:styleId="712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13" w:default="1">
    <w:name w:val="No List"/>
    <w:uiPriority w:val="99"/>
    <w:semiHidden/>
    <w:unhideWhenUsed/>
    <w:pPr>
      <w:pBdr/>
      <w:spacing/>
      <w:ind/>
    </w:pPr>
  </w:style>
  <w:style w:type="character" w:styleId="714" w:customStyle="1">
    <w:name w:val="Заголовок 1 Знак"/>
    <w:basedOn w:val="711"/>
    <w:link w:val="702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character" w:styleId="715" w:customStyle="1">
    <w:name w:val="Заголовок 2 Знак"/>
    <w:basedOn w:val="711"/>
    <w:link w:val="703"/>
    <w:uiPriority w:val="9"/>
    <w:pPr>
      <w:pBdr/>
      <w:spacing/>
      <w:ind/>
    </w:pPr>
    <w:rPr>
      <w:rFonts w:ascii="Arial" w:hAnsi="Arial" w:eastAsia="Arial" w:cs="Arial"/>
      <w:sz w:val="34"/>
    </w:rPr>
  </w:style>
  <w:style w:type="character" w:styleId="716" w:customStyle="1">
    <w:name w:val="Заголовок 3 Знак"/>
    <w:basedOn w:val="711"/>
    <w:link w:val="704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character" w:styleId="717" w:customStyle="1">
    <w:name w:val="Заголовок 4 Знак"/>
    <w:basedOn w:val="711"/>
    <w:link w:val="705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character" w:styleId="718" w:customStyle="1">
    <w:name w:val="Заголовок 5 Знак"/>
    <w:basedOn w:val="711"/>
    <w:link w:val="706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character" w:styleId="719" w:customStyle="1">
    <w:name w:val="Заголовок 6 Знак"/>
    <w:basedOn w:val="711"/>
    <w:link w:val="707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character" w:styleId="720" w:customStyle="1">
    <w:name w:val="Заголовок 7 Знак"/>
    <w:basedOn w:val="711"/>
    <w:link w:val="708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21" w:customStyle="1">
    <w:name w:val="Заголовок 8 Знак"/>
    <w:basedOn w:val="711"/>
    <w:link w:val="709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character" w:styleId="722" w:customStyle="1">
    <w:name w:val="Заголовок 9 Знак"/>
    <w:basedOn w:val="711"/>
    <w:link w:val="710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paragraph" w:styleId="723">
    <w:name w:val="Title"/>
    <w:basedOn w:val="701"/>
    <w:next w:val="701"/>
    <w:link w:val="724"/>
    <w:uiPriority w:val="10"/>
    <w:qFormat/>
    <w:pPr>
      <w:pBdr/>
      <w:spacing w:before="300"/>
      <w:ind/>
      <w:contextualSpacing w:val="true"/>
    </w:pPr>
    <w:rPr>
      <w:sz w:val="48"/>
      <w:szCs w:val="48"/>
    </w:rPr>
  </w:style>
  <w:style w:type="character" w:styleId="724" w:customStyle="1">
    <w:name w:val="Название Знак"/>
    <w:basedOn w:val="711"/>
    <w:link w:val="723"/>
    <w:uiPriority w:val="10"/>
    <w:pPr>
      <w:pBdr/>
      <w:spacing/>
      <w:ind/>
    </w:pPr>
    <w:rPr>
      <w:sz w:val="48"/>
      <w:szCs w:val="48"/>
    </w:rPr>
  </w:style>
  <w:style w:type="paragraph" w:styleId="725">
    <w:name w:val="Subtitle"/>
    <w:basedOn w:val="701"/>
    <w:next w:val="701"/>
    <w:link w:val="726"/>
    <w:uiPriority w:val="11"/>
    <w:qFormat/>
    <w:pPr>
      <w:pBdr/>
      <w:spacing w:before="200"/>
      <w:ind/>
    </w:pPr>
    <w:rPr>
      <w:sz w:val="24"/>
      <w:szCs w:val="24"/>
    </w:rPr>
  </w:style>
  <w:style w:type="character" w:styleId="726" w:customStyle="1">
    <w:name w:val="Подзаголовок Знак"/>
    <w:basedOn w:val="711"/>
    <w:link w:val="725"/>
    <w:uiPriority w:val="11"/>
    <w:pPr>
      <w:pBdr/>
      <w:spacing/>
      <w:ind/>
    </w:pPr>
    <w:rPr>
      <w:sz w:val="24"/>
      <w:szCs w:val="24"/>
    </w:rPr>
  </w:style>
  <w:style w:type="paragraph" w:styleId="727">
    <w:name w:val="Quote"/>
    <w:basedOn w:val="701"/>
    <w:next w:val="701"/>
    <w:link w:val="728"/>
    <w:uiPriority w:val="29"/>
    <w:qFormat/>
    <w:pPr>
      <w:pBdr/>
      <w:spacing/>
      <w:ind w:right="720" w:left="720"/>
    </w:pPr>
    <w:rPr>
      <w:i/>
    </w:rPr>
  </w:style>
  <w:style w:type="character" w:styleId="728" w:customStyle="1">
    <w:name w:val="Цитата 2 Знак"/>
    <w:link w:val="727"/>
    <w:uiPriority w:val="29"/>
    <w:pPr>
      <w:pBdr/>
      <w:spacing/>
      <w:ind/>
    </w:pPr>
    <w:rPr>
      <w:i/>
    </w:rPr>
  </w:style>
  <w:style w:type="paragraph" w:styleId="729">
    <w:name w:val="Intense Quote"/>
    <w:basedOn w:val="701"/>
    <w:next w:val="701"/>
    <w:link w:val="730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i/>
    </w:rPr>
  </w:style>
  <w:style w:type="character" w:styleId="730" w:customStyle="1">
    <w:name w:val="Выделенная цитата Знак"/>
    <w:link w:val="729"/>
    <w:uiPriority w:val="30"/>
    <w:pPr>
      <w:pBdr/>
      <w:spacing/>
      <w:ind/>
    </w:pPr>
    <w:rPr>
      <w:i/>
    </w:rPr>
  </w:style>
  <w:style w:type="paragraph" w:styleId="731">
    <w:name w:val="Header"/>
    <w:basedOn w:val="701"/>
    <w:link w:val="732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732" w:customStyle="1">
    <w:name w:val="Верхний колонтитул Знак"/>
    <w:basedOn w:val="711"/>
    <w:link w:val="731"/>
    <w:uiPriority w:val="99"/>
    <w:pPr>
      <w:pBdr/>
      <w:spacing/>
      <w:ind/>
    </w:pPr>
  </w:style>
  <w:style w:type="paragraph" w:styleId="733">
    <w:name w:val="Footer"/>
    <w:basedOn w:val="701"/>
    <w:link w:val="736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734" w:customStyle="1">
    <w:name w:val="Footer Char"/>
    <w:basedOn w:val="711"/>
    <w:uiPriority w:val="99"/>
    <w:pPr>
      <w:pBdr/>
      <w:spacing/>
      <w:ind/>
    </w:pPr>
  </w:style>
  <w:style w:type="paragraph" w:styleId="735">
    <w:name w:val="Caption"/>
    <w:basedOn w:val="701"/>
    <w:next w:val="701"/>
    <w:uiPriority w:val="35"/>
    <w:semiHidden/>
    <w:unhideWhenUsed/>
    <w:qFormat/>
    <w:pPr>
      <w:pBdr/>
      <w:spacing/>
      <w:ind/>
    </w:pPr>
    <w:rPr>
      <w:b/>
      <w:bCs/>
      <w:color w:val="4f81bd" w:themeColor="accent1"/>
      <w:sz w:val="18"/>
      <w:szCs w:val="18"/>
    </w:rPr>
  </w:style>
  <w:style w:type="character" w:styleId="736" w:customStyle="1">
    <w:name w:val="Нижний колонтитул Знак"/>
    <w:link w:val="733"/>
    <w:uiPriority w:val="99"/>
    <w:pPr>
      <w:pBdr/>
      <w:spacing/>
      <w:ind/>
    </w:pPr>
  </w:style>
  <w:style w:type="table" w:styleId="737" w:customStyle="1">
    <w:name w:val="Table Grid Light"/>
    <w:basedOn w:val="712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Plain Table 1"/>
    <w:basedOn w:val="712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Plain Table 2"/>
    <w:basedOn w:val="712"/>
    <w:uiPriority w:val="59"/>
    <w:pPr>
      <w:pBdr/>
      <w:spacing w:after="0" w:line="240" w:lineRule="auto"/>
      <w:ind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Plain Table 3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Plain Table 4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Plain Table 5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Grid Table 1 Light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 w:customStyle="1">
    <w:name w:val="Grid Table 1 Light - Accent 1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 w:customStyle="1">
    <w:name w:val="Grid Table 1 Light - Accent 2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 w:customStyle="1">
    <w:name w:val="Grid Table 1 Light - Accent 3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 w:customStyle="1">
    <w:name w:val="Grid Table 1 Light - Accent 4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 w:customStyle="1">
    <w:name w:val="Grid Table 1 Light - Accent 5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 w:customStyle="1">
    <w:name w:val="Grid Table 1 Light - Accent 6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Grid Table 2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 w:customStyle="1">
    <w:name w:val="Grid Table 2 - Accent 1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 w:customStyle="1">
    <w:name w:val="Grid Table 2 - Accent 2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 w:customStyle="1">
    <w:name w:val="Grid Table 2 - Accent 3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 w:customStyle="1">
    <w:name w:val="Grid Table 2 - Accent 4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 w:customStyle="1">
    <w:name w:val="Grid Table 2 - Accent 5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 w:customStyle="1">
    <w:name w:val="Grid Table 2 - Accent 6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Grid Table 3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 w:customStyle="1">
    <w:name w:val="Grid Table 3 - Accent 1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 w:customStyle="1">
    <w:name w:val="Grid Table 3 - Accent 2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 w:customStyle="1">
    <w:name w:val="Grid Table 3 - Accent 3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 w:customStyle="1">
    <w:name w:val="Grid Table 3 - Accent 4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 w:customStyle="1">
    <w:name w:val="Grid Table 3 - Accent 5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 w:customStyle="1">
    <w:name w:val="Grid Table 3 - Accent 6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Grid Table 4"/>
    <w:basedOn w:val="712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 w:customStyle="1">
    <w:name w:val="Grid Table 4 - Accent 1"/>
    <w:basedOn w:val="712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d8ac2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 w:customStyle="1">
    <w:name w:val="Grid Table 4 - Accent 2"/>
    <w:basedOn w:val="712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 w:customStyle="1">
    <w:name w:val="Grid Table 4 - Accent 3"/>
    <w:basedOn w:val="712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abb59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 w:customStyle="1">
    <w:name w:val="Grid Table 4 - Accent 4"/>
    <w:basedOn w:val="712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 w:customStyle="1">
    <w:name w:val="Grid Table 4 - Accent 5"/>
    <w:basedOn w:val="712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 w:customStyle="1">
    <w:name w:val="Grid Table 4 - Accent 6"/>
    <w:basedOn w:val="712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Grid Table 5 Dark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 w:customStyle="1">
    <w:name w:val="Grid Table 5 Dark- Accent 1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 w:customStyle="1">
    <w:name w:val="Grid Table 5 Dark - Accent 2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 w:customStyle="1">
    <w:name w:val="Grid Table 5 Dark - Accent 3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 w:customStyle="1">
    <w:name w:val="Grid Table 5 Dark- Accent 4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 w:customStyle="1">
    <w:name w:val="Grid Table 5 Dark - Accent 5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 w:customStyle="1">
    <w:name w:val="Grid Table 5 Dark - Accent 6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Grid Table 6 Colorful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 w:customStyle="1">
    <w:name w:val="Grid Table 6 Colorful - Accent 1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 w:customStyle="1">
    <w:name w:val="Grid Table 6 Colorful - Accent 2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 w:customStyle="1">
    <w:name w:val="Grid Table 6 Colorful - Accent 3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 w:customStyle="1">
    <w:name w:val="Grid Table 6 Colorful - Accent 4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 w:customStyle="1">
    <w:name w:val="Grid Table 6 Colorful - Accent 5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 w:customStyle="1">
    <w:name w:val="Grid Table 6 Colorful - Accent 6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Grid Table 7 Colorful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 w:customStyle="1">
    <w:name w:val="Grid Table 7 Colorful - Accent 1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 w:customStyle="1">
    <w:name w:val="Grid Table 7 Colorful - Accent 2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 w:customStyle="1">
    <w:name w:val="Grid Table 7 Colorful - Accent 3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 w:customStyle="1">
    <w:name w:val="Grid Table 7 Colorful - Accent 4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 w:customStyle="1">
    <w:name w:val="Grid Table 7 Colorful - Accent 5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 w:customStyle="1">
    <w:name w:val="Grid Table 7 Colorful - Accent 6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List Table 1 Light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 w:customStyle="1">
    <w:name w:val="List Table 1 Light - Accent 1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 w:customStyle="1">
    <w:name w:val="List Table 1 Light - Accent 2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 w:customStyle="1">
    <w:name w:val="List Table 1 Light - Accent 3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 w:customStyle="1">
    <w:name w:val="List Table 1 Light - Accent 4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 w:customStyle="1">
    <w:name w:val="List Table 1 Light - Accent 5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 w:customStyle="1">
    <w:name w:val="List Table 1 Light - Accent 6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List Table 2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 w:customStyle="1">
    <w:name w:val="List Table 2 - Accent 1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 w:customStyle="1">
    <w:name w:val="List Table 2 - Accent 2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 w:customStyle="1">
    <w:name w:val="List Table 2 - Accent 3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 w:customStyle="1">
    <w:name w:val="List Table 2 - Accent 4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 w:customStyle="1">
    <w:name w:val="List Table 2 - Accent 5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 w:customStyle="1">
    <w:name w:val="List Table 2 - Accent 6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List Table 3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 w:customStyle="1">
    <w:name w:val="List Table 3 - Accent 1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 w:customStyle="1">
    <w:name w:val="List Table 3 - Accent 2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 w:customStyle="1">
    <w:name w:val="List Table 3 - Accent 3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 w:customStyle="1">
    <w:name w:val="List Table 3 - Accent 4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 w:customStyle="1">
    <w:name w:val="List Table 3 - Accent 5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 w:customStyle="1">
    <w:name w:val="List Table 3 - Accent 6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List Table 4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 w:customStyle="1">
    <w:name w:val="List Table 4 - Accent 1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 w:customStyle="1">
    <w:name w:val="List Table 4 - Accent 2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 w:customStyle="1">
    <w:name w:val="List Table 4 - Accent 3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 w:customStyle="1">
    <w:name w:val="List Table 4 - Accent 4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 w:customStyle="1">
    <w:name w:val="List Table 4 - Accent 5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 w:customStyle="1">
    <w:name w:val="List Table 4 - Accent 6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List Table 5 Dark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 w:customStyle="1">
    <w:name w:val="List Table 5 Dark - Accent 1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 w:customStyle="1">
    <w:name w:val="List Table 5 Dark - Accent 2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 w:customStyle="1">
    <w:name w:val="List Table 5 Dark - Accent 3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 w:customStyle="1">
    <w:name w:val="List Table 5 Dark - Accent 4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 w:customStyle="1">
    <w:name w:val="List Table 5 Dark - Accent 5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 w:customStyle="1">
    <w:name w:val="List Table 5 Dark - Accent 6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List Table 6 Colorful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 w:customStyle="1">
    <w:name w:val="List Table 6 Colorful - Accent 1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 w:customStyle="1">
    <w:name w:val="List Table 6 Colorful - Accent 2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 w:customStyle="1">
    <w:name w:val="List Table 6 Colorful - Accent 3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 w:customStyle="1">
    <w:name w:val="List Table 6 Colorful - Accent 4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 w:customStyle="1">
    <w:name w:val="List Table 6 Colorful - Accent 5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 w:customStyle="1">
    <w:name w:val="List Table 6 Colorful - Accent 6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List Table 7 Colorful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 w:customStyle="1">
    <w:name w:val="List Table 7 Colorful - Accent 1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 w:customStyle="1">
    <w:name w:val="List Table 7 Colorful - Accent 2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 w:customStyle="1">
    <w:name w:val="List Table 7 Colorful - Accent 3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 w:customStyle="1">
    <w:name w:val="List Table 7 Colorful - Accent 4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 w:customStyle="1">
    <w:name w:val="List Table 7 Colorful - Accent 5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 w:customStyle="1">
    <w:name w:val="List Table 7 Colorful - Accent 6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 w:customStyle="1">
    <w:name w:val="Lined - Accent"/>
    <w:basedOn w:val="712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 w:customStyle="1">
    <w:name w:val="Lined - Accent 1"/>
    <w:basedOn w:val="712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 w:customStyle="1">
    <w:name w:val="Lined - Accent 2"/>
    <w:basedOn w:val="712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 w:customStyle="1">
    <w:name w:val="Lined - Accent 3"/>
    <w:basedOn w:val="712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 w:customStyle="1">
    <w:name w:val="Lined - Accent 4"/>
    <w:basedOn w:val="712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 w:customStyle="1">
    <w:name w:val="Lined - Accent 5"/>
    <w:basedOn w:val="712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 w:customStyle="1">
    <w:name w:val="Lined - Accent 6"/>
    <w:basedOn w:val="712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 w:customStyle="1">
    <w:name w:val="Bordered &amp; Lined - Accent"/>
    <w:basedOn w:val="712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 w:customStyle="1">
    <w:name w:val="Bordered &amp; Lined - Accent 1"/>
    <w:basedOn w:val="712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 w:customStyle="1">
    <w:name w:val="Bordered &amp; Lined - Accent 2"/>
    <w:basedOn w:val="712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 w:customStyle="1">
    <w:name w:val="Bordered &amp; Lined - Accent 3"/>
    <w:basedOn w:val="712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 w:customStyle="1">
    <w:name w:val="Bordered &amp; Lined - Accent 4"/>
    <w:basedOn w:val="712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 w:customStyle="1">
    <w:name w:val="Bordered &amp; Lined - Accent 5"/>
    <w:basedOn w:val="712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 w:customStyle="1">
    <w:name w:val="Bordered &amp; Lined - Accent 6"/>
    <w:basedOn w:val="712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 w:customStyle="1">
    <w:name w:val="Bordered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 w:customStyle="1">
    <w:name w:val="Bordered - Accent 1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 w:customStyle="1">
    <w:name w:val="Bordered - Accent 2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 w:customStyle="1">
    <w:name w:val="Bordered - Accent 3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 w:customStyle="1">
    <w:name w:val="Bordered - Accent 4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 w:customStyle="1">
    <w:name w:val="Bordered - Accent 5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 w:customStyle="1">
    <w:name w:val="Bordered - Accent 6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62">
    <w:name w:val="footnote text"/>
    <w:basedOn w:val="701"/>
    <w:link w:val="863"/>
    <w:uiPriority w:val="99"/>
    <w:semiHidden/>
    <w:unhideWhenUsed/>
    <w:pPr>
      <w:pBdr/>
      <w:spacing w:after="40" w:line="240" w:lineRule="auto"/>
      <w:ind/>
    </w:pPr>
    <w:rPr>
      <w:sz w:val="18"/>
    </w:rPr>
  </w:style>
  <w:style w:type="character" w:styleId="863" w:customStyle="1">
    <w:name w:val="Текст сноски Знак"/>
    <w:link w:val="862"/>
    <w:uiPriority w:val="99"/>
    <w:pPr>
      <w:pBdr/>
      <w:spacing/>
      <w:ind/>
    </w:pPr>
    <w:rPr>
      <w:sz w:val="18"/>
    </w:rPr>
  </w:style>
  <w:style w:type="character" w:styleId="864">
    <w:name w:val="footnote reference"/>
    <w:basedOn w:val="711"/>
    <w:uiPriority w:val="99"/>
    <w:unhideWhenUsed/>
    <w:pPr>
      <w:pBdr/>
      <w:spacing/>
      <w:ind/>
    </w:pPr>
    <w:rPr>
      <w:vertAlign w:val="superscript"/>
    </w:rPr>
  </w:style>
  <w:style w:type="paragraph" w:styleId="865">
    <w:name w:val="endnote text"/>
    <w:basedOn w:val="701"/>
    <w:link w:val="866"/>
    <w:uiPriority w:val="99"/>
    <w:semiHidden/>
    <w:unhideWhenUsed/>
    <w:pPr>
      <w:pBdr/>
      <w:spacing w:after="0" w:line="240" w:lineRule="auto"/>
      <w:ind/>
    </w:pPr>
    <w:rPr>
      <w:sz w:val="20"/>
    </w:rPr>
  </w:style>
  <w:style w:type="character" w:styleId="866" w:customStyle="1">
    <w:name w:val="Текст концевой сноски Знак"/>
    <w:link w:val="865"/>
    <w:uiPriority w:val="99"/>
    <w:pPr>
      <w:pBdr/>
      <w:spacing/>
      <w:ind/>
    </w:pPr>
    <w:rPr>
      <w:sz w:val="20"/>
    </w:rPr>
  </w:style>
  <w:style w:type="character" w:styleId="867">
    <w:name w:val="endnote reference"/>
    <w:basedOn w:val="711"/>
    <w:uiPriority w:val="99"/>
    <w:semiHidden/>
    <w:unhideWhenUsed/>
    <w:pPr>
      <w:pBdr/>
      <w:spacing/>
      <w:ind/>
    </w:pPr>
    <w:rPr>
      <w:vertAlign w:val="superscript"/>
    </w:rPr>
  </w:style>
  <w:style w:type="paragraph" w:styleId="868">
    <w:name w:val="toc 1"/>
    <w:basedOn w:val="701"/>
    <w:next w:val="701"/>
    <w:uiPriority w:val="39"/>
    <w:unhideWhenUsed/>
    <w:pPr>
      <w:pBdr/>
      <w:spacing w:after="57"/>
      <w:ind/>
    </w:pPr>
  </w:style>
  <w:style w:type="paragraph" w:styleId="869">
    <w:name w:val="toc 2"/>
    <w:basedOn w:val="701"/>
    <w:next w:val="701"/>
    <w:uiPriority w:val="39"/>
    <w:unhideWhenUsed/>
    <w:pPr>
      <w:pBdr/>
      <w:spacing w:after="57"/>
      <w:ind w:left="283"/>
    </w:pPr>
  </w:style>
  <w:style w:type="paragraph" w:styleId="870">
    <w:name w:val="toc 3"/>
    <w:basedOn w:val="701"/>
    <w:next w:val="701"/>
    <w:uiPriority w:val="39"/>
    <w:unhideWhenUsed/>
    <w:pPr>
      <w:pBdr/>
      <w:spacing w:after="57"/>
      <w:ind w:left="567"/>
    </w:pPr>
  </w:style>
  <w:style w:type="paragraph" w:styleId="871">
    <w:name w:val="toc 4"/>
    <w:basedOn w:val="701"/>
    <w:next w:val="701"/>
    <w:uiPriority w:val="39"/>
    <w:unhideWhenUsed/>
    <w:pPr>
      <w:pBdr/>
      <w:spacing w:after="57"/>
      <w:ind w:left="850"/>
    </w:pPr>
  </w:style>
  <w:style w:type="paragraph" w:styleId="872">
    <w:name w:val="toc 5"/>
    <w:basedOn w:val="701"/>
    <w:next w:val="701"/>
    <w:uiPriority w:val="39"/>
    <w:unhideWhenUsed/>
    <w:pPr>
      <w:pBdr/>
      <w:spacing w:after="57"/>
      <w:ind w:left="1134"/>
    </w:pPr>
  </w:style>
  <w:style w:type="paragraph" w:styleId="873">
    <w:name w:val="toc 6"/>
    <w:basedOn w:val="701"/>
    <w:next w:val="701"/>
    <w:uiPriority w:val="39"/>
    <w:unhideWhenUsed/>
    <w:pPr>
      <w:pBdr/>
      <w:spacing w:after="57"/>
      <w:ind w:left="1417"/>
    </w:pPr>
  </w:style>
  <w:style w:type="paragraph" w:styleId="874">
    <w:name w:val="toc 7"/>
    <w:basedOn w:val="701"/>
    <w:next w:val="701"/>
    <w:uiPriority w:val="39"/>
    <w:unhideWhenUsed/>
    <w:pPr>
      <w:pBdr/>
      <w:spacing w:after="57"/>
      <w:ind w:left="1701"/>
    </w:pPr>
  </w:style>
  <w:style w:type="paragraph" w:styleId="875">
    <w:name w:val="toc 8"/>
    <w:basedOn w:val="701"/>
    <w:next w:val="701"/>
    <w:uiPriority w:val="39"/>
    <w:unhideWhenUsed/>
    <w:pPr>
      <w:pBdr/>
      <w:spacing w:after="57"/>
      <w:ind w:left="1984"/>
    </w:pPr>
  </w:style>
  <w:style w:type="paragraph" w:styleId="876">
    <w:name w:val="toc 9"/>
    <w:basedOn w:val="701"/>
    <w:next w:val="701"/>
    <w:uiPriority w:val="39"/>
    <w:unhideWhenUsed/>
    <w:pPr>
      <w:pBdr/>
      <w:spacing w:after="57"/>
      <w:ind w:left="2268"/>
    </w:pPr>
  </w:style>
  <w:style w:type="paragraph" w:styleId="877">
    <w:name w:val="TOC Heading"/>
    <w:uiPriority w:val="39"/>
    <w:unhideWhenUsed/>
    <w:pPr>
      <w:pBdr/>
      <w:spacing/>
      <w:ind/>
    </w:pPr>
  </w:style>
  <w:style w:type="paragraph" w:styleId="878">
    <w:name w:val="table of figures"/>
    <w:basedOn w:val="701"/>
    <w:next w:val="701"/>
    <w:uiPriority w:val="99"/>
    <w:unhideWhenUsed/>
    <w:pPr>
      <w:pBdr/>
      <w:spacing w:after="0"/>
      <w:ind/>
    </w:pPr>
  </w:style>
  <w:style w:type="paragraph" w:styleId="879" w:customStyle="1">
    <w:name w:val="List Paragraph1"/>
    <w:basedOn w:val="701"/>
    <w:pPr>
      <w:pBdr/>
      <w:spacing/>
      <w:ind w:left="720"/>
    </w:pPr>
    <w:rPr>
      <w:rFonts w:eastAsia="Times New Roman" w:cs="Calibri"/>
    </w:rPr>
  </w:style>
  <w:style w:type="table" w:styleId="880">
    <w:name w:val="Table Grid"/>
    <w:basedOn w:val="712"/>
    <w:uiPriority w:val="59"/>
    <w:pPr>
      <w:pBdr/>
      <w:spacing w:after="0" w:line="240" w:lineRule="auto"/>
      <w:ind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81">
    <w:name w:val="List Paragraph"/>
    <w:basedOn w:val="701"/>
    <w:uiPriority w:val="34"/>
    <w:qFormat/>
    <w:pPr>
      <w:pBdr/>
      <w:spacing/>
      <w:ind w:left="720"/>
      <w:contextualSpacing w:val="true"/>
    </w:pPr>
  </w:style>
  <w:style w:type="paragraph" w:styleId="882">
    <w:name w:val="No Spacing"/>
    <w:uiPriority w:val="1"/>
    <w:qFormat/>
    <w:pPr>
      <w:pBdr/>
      <w:spacing w:after="0" w:line="240" w:lineRule="auto"/>
      <w:ind/>
    </w:pPr>
    <w:rPr>
      <w:rFonts w:ascii="Calibri" w:hAnsi="Calibri" w:eastAsia="Calibri" w:cs="Times New Roman"/>
    </w:rPr>
  </w:style>
  <w:style w:type="numbering" w:styleId="883" w:customStyle="1">
    <w:name w:val="Стиль1"/>
    <w:uiPriority w:val="99"/>
    <w:pPr>
      <w:numPr>
        <w:ilvl w:val="0"/>
        <w:numId w:val="11"/>
      </w:numPr>
      <w:pBdr/>
      <w:spacing/>
      <w:ind/>
    </w:pPr>
  </w:style>
  <w:style w:type="character" w:styleId="884">
    <w:name w:val="Hyperlink"/>
    <w:basedOn w:val="711"/>
    <w:uiPriority w:val="99"/>
    <w:semiHidden/>
    <w:unhideWhenUsed/>
    <w:pPr>
      <w:pBdr/>
      <w:spacing/>
      <w:ind/>
    </w:pPr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ONLYOFFICE/8.0.1.31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2024-08-16T05:51:04Z</dcterms:modified>
</cp:coreProperties>
</file>