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(0801500001126001118)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10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44"/>
        <w:gridCol w:w="3260"/>
        <w:gridCol w:w="3402"/>
      </w:tblGrid>
      <w:tr>
        <w:trPr/>
        <w:tc>
          <w:tcPr>
            <w:tcW w:w="354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righ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3260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napToGrid w:val="false"/>
              <w:spacing w:lineRule="auto" w:line="240" w:before="60" w:after="60"/>
              <w:ind w:left="0" w:righ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righ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0801500001126001118-1-1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napToGrid w:val="false"/>
              <w:spacing w:lineRule="auto" w:line="240" w:before="60" w:after="60"/>
              <w:ind w:left="0" w:right="0"/>
              <w:jc w:val="center"/>
              <w:rPr>
                <w:rFonts w:cs="Times New Roman"/>
                <w:bCs/>
                <w:lang w:eastAsia="ru-RU"/>
              </w:rPr>
            </w:pPr>
            <w:r>
              <w:rPr>
                <w:rFonts w:cs="Times New Roman"/>
                <w:bCs/>
                <w:lang w:eastAsia="ru-RU"/>
              </w:rPr>
            </w:r>
          </w:p>
        </w:tc>
      </w:tr>
    </w:tbl>
    <w:p>
      <w:pPr>
        <w:pStyle w:val="Style17"/>
        <w:widowControl w:val="false"/>
        <w:numPr>
          <w:ilvl w:val="0"/>
          <w:numId w:val="2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РЕСПУБЛИКИ БАШКОРТОСТАН "РЕСПУБЛИКАНСКИЙ ЦЕНТР ТОРГОВ".</w:t>
      </w:r>
    </w:p>
    <w:p>
      <w:pPr>
        <w:pStyle w:val="Style17"/>
        <w:widowControl w:val="false"/>
        <w:numPr>
          <w:ilvl w:val="0"/>
          <w:numId w:val="2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W w:w="10093" w:type="dxa"/>
        <w:jc w:val="left"/>
        <w:tblInd w:w="21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93"/>
      </w:tblGrid>
      <w:tr>
        <w:trPr/>
        <w:tc>
          <w:tcPr>
            <w:tcW w:w="1009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АДМИНИСТРАЦИЯ МУНИЦИПАЛЬНОГО РАЙОНА ИШИМБАЙСКИЙ РАЙОН РЕСПУБЛИКИ БАШКОРТОСТАН</w:t>
            </w:r>
          </w:p>
        </w:tc>
      </w:tr>
    </w:tbl>
    <w:p>
      <w:pPr>
        <w:pStyle w:val="Style17"/>
        <w:widowControl w:val="false"/>
        <w:numPr>
          <w:ilvl w:val="0"/>
          <w:numId w:val="2"/>
        </w:numPr>
        <w:spacing w:lineRule="auto" w:line="240" w:before="60" w:after="0"/>
        <w:contextualSpacing/>
        <w:rPr/>
      </w:pPr>
      <w:r>
        <w:rPr/>
        <w:t>Идентификационный код закупки: 263026101412802610100101280014120412.</w:t>
      </w:r>
      <w:r>
        <w:rPr>
          <w:lang w:val="en-US"/>
        </w:rPr>
        <w:t xml:space="preserve"> </w:t>
      </w:r>
    </w:p>
    <w:p>
      <w:pPr>
        <w:pStyle w:val="Style17"/>
        <w:widowControl w:val="false"/>
        <w:numPr>
          <w:ilvl w:val="0"/>
          <w:numId w:val="2"/>
        </w:numPr>
        <w:spacing w:lineRule="auto" w:line="240" w:before="60" w:after="0"/>
        <w:contextualSpacing/>
        <w:rPr/>
      </w:pPr>
      <w:r>
        <w:rPr/>
        <w:t xml:space="preserve">Извещение об осуществлении закупки размещено 10.06.2026 15:32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Style17"/>
        <w:widowControl w:val="false"/>
        <w:numPr>
          <w:ilvl w:val="0"/>
          <w:numId w:val="2"/>
        </w:numPr>
        <w:spacing w:lineRule="auto" w:line="240" w:before="60" w:after="0"/>
        <w:contextualSpacing/>
        <w:rPr/>
      </w:pPr>
      <w:r>
        <w:rPr/>
        <w:t>Наименование объекта закупки: Приобретение жилого помещения в муниципальную собственность в строящихся домах блокированной застройки в целях обеспечения жилыми помещениями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 и достигли возраста 23 лет.</w:t>
      </w:r>
    </w:p>
    <w:p>
      <w:pPr>
        <w:pStyle w:val="Style17"/>
        <w:widowControl w:val="false"/>
        <w:numPr>
          <w:ilvl w:val="0"/>
          <w:numId w:val="2"/>
        </w:numPr>
        <w:spacing w:lineRule="auto" w:line="240" w:before="60" w:after="0"/>
        <w:contextualSpacing/>
        <w:rPr/>
      </w:pPr>
      <w:r>
        <w:rPr/>
        <w:t>Начальная (максимальная) цена контракта, руб.: 3 864 300.00</w:t>
      </w:r>
    </w:p>
    <w:p>
      <w:pPr>
        <w:pStyle w:val="Style17"/>
        <w:widowControl w:val="false"/>
        <w:numPr>
          <w:ilvl w:val="0"/>
          <w:numId w:val="2"/>
        </w:numPr>
        <w:spacing w:lineRule="auto" w:line="240" w:before="60" w:after="0"/>
        <w:contextualSpacing/>
        <w:rPr/>
      </w:pPr>
      <w:r>
        <w:rPr/>
        <w:t>Комиссия Государственного казенного учреждения Республики Башкортостан «Республиканский центр торгов» по осуществлению закупок товаров, работ, услуг для заказчиков (состав №1)</w:t>
      </w:r>
    </w:p>
    <w:p>
      <w:pPr>
        <w:pStyle w:val="Style17"/>
        <w:keepNext w:val="true"/>
        <w:widowControl w:val="false"/>
        <w:numPr>
          <w:ilvl w:val="0"/>
          <w:numId w:val="2"/>
        </w:numPr>
        <w:spacing w:lineRule="auto" w:line="240" w:before="60" w:after="0"/>
        <w:contextualSpacing/>
        <w:rPr/>
      </w:pPr>
      <w:r>
        <w:rPr/>
        <w:t>Состав комиссии по осуществлению закупок:</w:t>
      </w:r>
    </w:p>
    <w:tbl>
      <w:tblPr>
        <w:tblW w:w="1020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0"/>
        <w:gridCol w:w="4133"/>
        <w:gridCol w:w="3543"/>
      </w:tblGrid>
      <w:tr>
        <w:trPr/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Роль</w:t>
            </w:r>
          </w:p>
        </w:tc>
        <w:tc>
          <w:tcPr>
            <w:tcW w:w="4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Фамилия, имя, отчество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Статус</w:t>
            </w:r>
          </w:p>
        </w:tc>
      </w:tr>
      <w:tr>
        <w:trPr/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</w:t>
            </w:r>
          </w:p>
        </w:tc>
        <w:tc>
          <w:tcPr>
            <w:tcW w:w="4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Мельникова Дарья Олеговна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Присутствует</w:t>
            </w:r>
          </w:p>
        </w:tc>
      </w:tr>
      <w:tr>
        <w:trPr/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Член комиссии</w:t>
            </w:r>
          </w:p>
        </w:tc>
        <w:tc>
          <w:tcPr>
            <w:tcW w:w="4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Бикмурзина Екатерина Геннадьевна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/>
      </w:pPr>
      <w:r>
        <w:rPr/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Style17"/>
        <w:numPr>
          <w:ilvl w:val="0"/>
          <w:numId w:val="2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W w:w="1020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992"/>
        <w:gridCol w:w="1134"/>
        <w:gridCol w:w="3969"/>
        <w:gridCol w:w="1276"/>
        <w:gridCol w:w="844"/>
        <w:gridCol w:w="1140"/>
      </w:tblGrid>
      <w:tr>
        <w:trPr>
          <w:trHeight w:val="843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дата и время регистрации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Обоснование решения об отклонении заявки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цене, руб.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3</w:t>
            </w:r>
          </w:p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18.06.2026 06:53:12 (MSK+00:00)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Соответствует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3 476 000.00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- 10.05 %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2</w:t>
            </w:r>
          </w:p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17.06.2026 20:25:25 (MSK+00:00)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Соответствует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3 811 000.00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- 1.38 %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</w:tr>
      <w:tr>
        <w:trPr>
          <w:trHeight w:val="504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17.06.2026 18:46:21 (MSK+00:00)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Отклонить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 44-ФЗ) требованиям, установленным в извещении об осуществлении закупки: участник закупки не предоставил информацию, предусмотренную п. 5.2.1 Требований к содержанию и составу заявки на участие в электронном аукционе и инструкции по ее заполнению (пп. «а» п. 2 ч. 1 ст. 43 Федерального закона №44-ФЗ от 05.04.2013г.), а именно, заявка участника закупки не содержит характеристики предлагаемого участником закупки товара, соответствующие показателям, установленным в описании объекта закупки.</w:t>
            </w:r>
          </w:p>
          <w:p>
            <w:pPr>
              <w:pStyle w:val="Normal"/>
              <w:spacing w:lineRule="auto" w:line="240" w:before="6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В Описании объекта закупки по пункту 1 установлена характеристика:</w:t>
            </w:r>
          </w:p>
          <w:p>
            <w:pPr>
              <w:pStyle w:val="Normal"/>
              <w:spacing w:lineRule="auto" w:line="240" w:before="6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«Место нахождения жилого помещения – Республика Башкортостан, город Ишимбай, ул._________, д.____, кадастровый номер земельного участка _________».</w:t>
            </w:r>
          </w:p>
          <w:p>
            <w:pPr>
              <w:pStyle w:val="Normal"/>
              <w:spacing w:lineRule="auto" w:line="240" w:before="6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Согласно инструкции по заполнению заявки на участие в запросе котировок в электронной форме установлено, что участник закупки указывает в заявке конкретное значение характеристики.</w:t>
            </w:r>
          </w:p>
          <w:p>
            <w:pPr>
              <w:pStyle w:val="Normal"/>
              <w:spacing w:lineRule="auto" w:line="240" w:before="6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Участник закупки предложил:</w:t>
            </w:r>
          </w:p>
          <w:p>
            <w:pPr>
              <w:pStyle w:val="Normal"/>
              <w:spacing w:lineRule="auto" w:line="240" w:before="6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«Место нахождения жилого помещения – Республика Башкортостан, город Ишимбай, ул. Урожайная, д. 16».</w:t>
            </w:r>
          </w:p>
          <w:p>
            <w:pPr>
              <w:pStyle w:val="Normal"/>
              <w:spacing w:lineRule="auto" w:line="240" w:before="6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При этом кадастровый номер земельного участка участником не указан.</w:t>
            </w:r>
          </w:p>
          <w:p>
            <w:pPr>
              <w:pStyle w:val="Normal"/>
              <w:spacing w:lineRule="auto" w:line="240" w:before="6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Таким образом, заявка участника закупки не соответствует требованиям извещения об осуществлении закупки и положениям инструкции по заполнению заявки на участие в запросе котировок в электронной форме.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3 864 300.00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- 0.00 %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</w:r>
          </w:p>
        </w:tc>
      </w:tr>
    </w:tbl>
    <w:p>
      <w:pPr>
        <w:pStyle w:val="Style17"/>
        <w:widowControl w:val="false"/>
        <w:numPr>
          <w:ilvl w:val="0"/>
          <w:numId w:val="2"/>
        </w:numPr>
        <w:spacing w:lineRule="auto" w:line="240" w:before="60" w:after="0"/>
        <w:ind w:hanging="0" w:left="0" w:righ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left"/>
        <w:tblInd w:w="-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31"/>
        <w:gridCol w:w="5032"/>
      </w:tblGrid>
      <w:tr>
        <w:trPr>
          <w:trHeight w:val="491" w:hRule="atLeast"/>
        </w:trPr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Идентификационный номер заявки: 3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Мельникова Дарья Олеговна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Бикмурзина Екатерина Геннадьевна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Идентификационный номер заявки: 2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Мельникова Дарья Олеговна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Бикмурзина Екатерина Геннадьевна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Мельникова Дарья Олеговна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Отклонить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Бикмурзина Екатерина Геннадьевна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Отклонить</w:t>
            </w:r>
          </w:p>
        </w:tc>
      </w:tr>
    </w:tbl>
    <w:p>
      <w:pPr>
        <w:pStyle w:val="Style17"/>
        <w:keepNext w:val="true"/>
        <w:widowControl w:val="false"/>
        <w:numPr>
          <w:ilvl w:val="0"/>
          <w:numId w:val="2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1701"/>
        <w:gridCol w:w="4523"/>
        <w:gridCol w:w="2344"/>
      </w:tblGrid>
      <w:tr>
        <w:trPr>
          <w:trHeight w:val="915" w:hRule="atLeast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18"/>
                <w:szCs w:val="18"/>
              </w:rPr>
              <w:t>присвоенный оператором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</w:t>
            </w:r>
          </w:p>
        </w:tc>
      </w:tr>
      <w:tr>
        <w:trPr>
          <w:trHeight w:val="787" w:hRule="atLeast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1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iCs/>
                <w:sz w:val="18"/>
                <w:szCs w:val="18"/>
                <w:lang w:eastAsia="ru-RU"/>
              </w:rPr>
              <w:t>3 476 000.00</w:t>
            </w:r>
          </w:p>
        </w:tc>
      </w:tr>
      <w:tr>
        <w:trPr>
          <w:trHeight w:val="787" w:hRule="atLeast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2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iCs/>
                <w:sz w:val="18"/>
                <w:szCs w:val="18"/>
                <w:lang w:eastAsia="ru-RU"/>
              </w:rPr>
              <w:t>3 811 000.00</w:t>
            </w:r>
          </w:p>
        </w:tc>
      </w:tr>
    </w:tbl>
    <w:p>
      <w:pPr>
        <w:pStyle w:val="Style17"/>
        <w:keepNext w:val="true"/>
        <w:widowControl w:val="false"/>
        <w:numPr>
          <w:ilvl w:val="0"/>
          <w:numId w:val="2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Бикмурзина Екатерина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77:59:73:EB:9E:C6:69:25:2D:75:CA:02:F3:07:A3:E4, действителен с 23.05.2025 12:19:57 по 16.08.2026 12:19:57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09:31:32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Мельникова Дарья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00:F7:02:9E:64:20:ED:C5:1C:1B:8C:F9:9C:9C:95:D2:88, действителен с 18.04.2025 12:42:35 по 12.07.2026 12:42:35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09:46:28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Бикмурзина Екатерина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77:59:73:EB:9E:C6:69:25:2D:75:CA:02:F3:07:A3:E4, действителен с 23.05.2025 12:19:57 по 16.08.2026 12:19:57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09:53:46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Calibri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Heading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Heading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pStyle w:val="Heading6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pStyle w:val="Heading7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Heading8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pStyle w:val="Heading9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000000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2"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  <w:jc w:val="both"/>
    </w:pPr>
    <w:rPr>
      <w:rFonts w:ascii="Times New Roman" w:hAnsi="Times New Roman" w:eastAsia="Calibri" w:cs="Times New Roman"/>
      <w:color w:val="auto"/>
      <w:sz w:val="22"/>
      <w:szCs w:val="22"/>
      <w:lang w:val="ru-RU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keepLines/>
      <w:numPr>
        <w:ilvl w:val="0"/>
        <w:numId w:val="1"/>
      </w:numPr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next w:val="Normal"/>
    <w:qFormat/>
    <w:pPr>
      <w:keepNext w:val="true"/>
      <w:keepLines/>
      <w:numPr>
        <w:ilvl w:val="1"/>
        <w:numId w:val="1"/>
      </w:numPr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next w:val="Normal"/>
    <w:qFormat/>
    <w:pPr>
      <w:keepNext w:val="true"/>
      <w:keepLines/>
      <w:numPr>
        <w:ilvl w:val="2"/>
        <w:numId w:val="1"/>
      </w:numPr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next w:val="Normal"/>
    <w:qFormat/>
    <w:pPr>
      <w:keepNext w:val="true"/>
      <w:keepLines/>
      <w:numPr>
        <w:ilvl w:val="3"/>
        <w:numId w:val="1"/>
      </w:numPr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qFormat/>
    <w:pPr>
      <w:keepNext w:val="true"/>
      <w:keepLines/>
      <w:numPr>
        <w:ilvl w:val="4"/>
        <w:numId w:val="1"/>
      </w:numPr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qFormat/>
    <w:pPr>
      <w:keepNext w:val="true"/>
      <w:keepLines/>
      <w:numPr>
        <w:ilvl w:val="5"/>
        <w:numId w:val="1"/>
      </w:numPr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next w:val="Normal"/>
    <w:qFormat/>
    <w:pPr>
      <w:keepNext w:val="true"/>
      <w:keepLines/>
      <w:numPr>
        <w:ilvl w:val="6"/>
        <w:numId w:val="1"/>
      </w:numPr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next w:val="Normal"/>
    <w:qFormat/>
    <w:pPr>
      <w:keepNext w:val="true"/>
      <w:keepLines/>
      <w:numPr>
        <w:ilvl w:val="7"/>
        <w:numId w:val="1"/>
      </w:numPr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next w:val="Normal"/>
    <w:qFormat/>
    <w:pPr>
      <w:keepNext w:val="true"/>
      <w:keepLines/>
      <w:numPr>
        <w:ilvl w:val="8"/>
        <w:numId w:val="1"/>
      </w:numPr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WW8Num1z0">
    <w:name w:val="WW8Num1z0"/>
    <w:qFormat/>
    <w:rPr>
      <w:color w:val="000000"/>
    </w:rPr>
  </w:style>
  <w:style w:type="character" w:styleId="WW8Num1z1">
    <w:name w:val="WW8Num1z1"/>
    <w:qFormat/>
    <w:rPr/>
  </w:style>
  <w:style w:type="character" w:styleId="WW8Num2z0">
    <w:name w:val="WW8Num2z0"/>
    <w:qFormat/>
    <w:rPr>
      <w:color w:val="000000"/>
    </w:rPr>
  </w:style>
  <w:style w:type="character" w:styleId="WW8Num2z1">
    <w:name w:val="WW8Num2z1"/>
    <w:qFormat/>
    <w:rPr/>
  </w:style>
  <w:style w:type="character" w:styleId="WW8Num3z0">
    <w:name w:val="WW8Num3z0"/>
    <w:qFormat/>
    <w:rPr>
      <w:b w:val="false"/>
      <w:i w:val="false"/>
      <w:color w:val="000000"/>
    </w:rPr>
  </w:style>
  <w:style w:type="character" w:styleId="WW8Num4z0">
    <w:name w:val="WW8Num4z0"/>
    <w:qFormat/>
    <w:rPr>
      <w:b w:val="false"/>
      <w:i w:val="false"/>
      <w:color w:val="000000"/>
    </w:rPr>
  </w:style>
  <w:style w:type="character" w:styleId="WW8Num5z0">
    <w:name w:val="WW8Num5z0"/>
    <w:qFormat/>
    <w:rPr>
      <w:color w:val="000000"/>
    </w:rPr>
  </w:style>
  <w:style w:type="character" w:styleId="WW8Num5z1">
    <w:name w:val="WW8Num5z1"/>
    <w:qFormat/>
    <w:rPr/>
  </w:style>
  <w:style w:type="character" w:styleId="WW8Num6z0">
    <w:name w:val="WW8Num6z0"/>
    <w:qFormat/>
    <w:rPr>
      <w:b w:val="false"/>
      <w:i w:val="false"/>
      <w:color w:val="000000"/>
    </w:rPr>
  </w:style>
  <w:style w:type="character" w:styleId="WW8Num8z0">
    <w:name w:val="WW8Num8z0"/>
    <w:qFormat/>
    <w:rPr>
      <w:b w:val="false"/>
      <w:i w:val="false"/>
      <w:color w:val="000000"/>
    </w:rPr>
  </w:style>
  <w:style w:type="character" w:styleId="WW8Num9z0">
    <w:name w:val="WW8Num9z0"/>
    <w:qFormat/>
    <w:rPr>
      <w:color w:val="000000"/>
    </w:rPr>
  </w:style>
  <w:style w:type="character" w:styleId="WW8Num9z1">
    <w:name w:val="WW8Num9z1"/>
    <w:qFormat/>
    <w:rPr/>
  </w:style>
  <w:style w:type="character" w:styleId="WW8Num10z0">
    <w:name w:val="WW8Num10z0"/>
    <w:qFormat/>
    <w:rPr>
      <w:b w:val="false"/>
      <w:i w:val="false"/>
      <w:color w:val="000000"/>
    </w:rPr>
  </w:style>
  <w:style w:type="character" w:styleId="WW8Num11z0">
    <w:name w:val="WW8Num11z0"/>
    <w:qFormat/>
    <w:rPr>
      <w:color w:val="000000"/>
    </w:rPr>
  </w:style>
  <w:style w:type="character" w:styleId="WW8Num11z1">
    <w:name w:val="WW8Num11z1"/>
    <w:qFormat/>
    <w:rPr/>
  </w:style>
  <w:style w:type="character" w:styleId="WW8Num12z1">
    <w:name w:val="WW8Num12z1"/>
    <w:qFormat/>
    <w:rPr>
      <w:rFonts w:ascii="Courier New" w:hAnsi="Courier New" w:eastAsia="Courier New" w:cs="Courier New"/>
    </w:rPr>
  </w:style>
  <w:style w:type="character" w:styleId="WW8Num12z2">
    <w:name w:val="WW8Num12z2"/>
    <w:qFormat/>
    <w:rPr>
      <w:rFonts w:ascii="Wingdings" w:hAnsi="Wingdings" w:eastAsia="Wingdings" w:cs="Wingdings"/>
    </w:rPr>
  </w:style>
  <w:style w:type="character" w:styleId="WW8Num12z3">
    <w:name w:val="WW8Num12z3"/>
    <w:qFormat/>
    <w:rPr>
      <w:rFonts w:ascii="Symbol" w:hAnsi="Symbol" w:eastAsia="Symbol" w:cs="Symbol"/>
    </w:rPr>
  </w:style>
  <w:style w:type="character" w:styleId="WW8Num13z0">
    <w:name w:val="WW8Num13z0"/>
    <w:qFormat/>
    <w:rPr>
      <w:color w:val="000000"/>
    </w:rPr>
  </w:style>
  <w:style w:type="character" w:styleId="WW8Num13z1">
    <w:name w:val="WW8Num13z1"/>
    <w:qFormat/>
    <w:rPr/>
  </w:style>
  <w:style w:type="character" w:styleId="WW8Num14z0">
    <w:name w:val="WW8Num14z0"/>
    <w:qFormat/>
    <w:rPr>
      <w:b w:val="false"/>
      <w:i w:val="false"/>
      <w:color w:val="000000"/>
    </w:rPr>
  </w:style>
  <w:style w:type="character" w:styleId="WW8Num15z0">
    <w:name w:val="WW8Num15z0"/>
    <w:qFormat/>
    <w:rPr>
      <w:color w:val="000000"/>
    </w:rPr>
  </w:style>
  <w:style w:type="character" w:styleId="WW8Num16z0">
    <w:name w:val="WW8Num16z0"/>
    <w:qFormat/>
    <w:rPr>
      <w:b w:val="false"/>
      <w:i w:val="false"/>
      <w:color w:val="000000"/>
    </w:rPr>
  </w:style>
  <w:style w:type="character" w:styleId="Style5">
    <w:name w:val="Основной шрифт абзаца"/>
    <w:qFormat/>
    <w:rPr/>
  </w:style>
  <w:style w:type="character" w:styleId="Heading1Char">
    <w:name w:val="Heading 1 Char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qFormat/>
    <w:rPr>
      <w:rFonts w:ascii="Arial" w:hAnsi="Arial" w:eastAsia="Arial" w:cs="Arial"/>
      <w:sz w:val="34"/>
    </w:rPr>
  </w:style>
  <w:style w:type="character" w:styleId="Heading3Char">
    <w:name w:val="Heading 3 Char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qFormat/>
    <w:rPr>
      <w:sz w:val="48"/>
      <w:szCs w:val="48"/>
    </w:rPr>
  </w:style>
  <w:style w:type="character" w:styleId="SubtitleChar">
    <w:name w:val="Subtitle Char"/>
    <w:qFormat/>
    <w:rPr>
      <w:sz w:val="24"/>
      <w:szCs w:val="24"/>
    </w:rPr>
  </w:style>
  <w:style w:type="character" w:styleId="QuoteChar">
    <w:name w:val="Quote Char"/>
    <w:qFormat/>
    <w:rPr>
      <w:i/>
    </w:rPr>
  </w:style>
  <w:style w:type="character" w:styleId="IntenseQuoteChar">
    <w:name w:val="Intense Quote Char"/>
    <w:qFormat/>
    <w:rPr>
      <w:i/>
    </w:rPr>
  </w:style>
  <w:style w:type="character" w:styleId="HeaderChar">
    <w:name w:val="Header Char"/>
    <w:basedOn w:val="Style5"/>
    <w:qFormat/>
    <w:rPr/>
  </w:style>
  <w:style w:type="character" w:styleId="CaptionChar">
    <w:name w:val="Caption Char"/>
    <w:qFormat/>
    <w:rPr/>
  </w:style>
  <w:style w:type="character" w:styleId="FootnoteTextChar">
    <w:name w:val="Footnote Text Char"/>
    <w:qFormat/>
    <w:rPr>
      <w:sz w:val="18"/>
    </w:rPr>
  </w:style>
  <w:style w:type="character" w:styleId="EndnoteTextChar">
    <w:name w:val="Endnote Text Char"/>
    <w:qFormat/>
    <w:rPr>
      <w:sz w:val="20"/>
    </w:rPr>
  </w:style>
  <w:style w:type="character" w:styleId="1">
    <w:name w:val="Заголовок 1 Знак"/>
    <w:qFormat/>
    <w:rPr>
      <w:rFonts w:ascii="Arial" w:hAnsi="Arial" w:eastAsia="Arial" w:cs="Arial"/>
      <w:sz w:val="40"/>
      <w:szCs w:val="40"/>
    </w:rPr>
  </w:style>
  <w:style w:type="character" w:styleId="2">
    <w:name w:val="Заголовок 2 Знак"/>
    <w:qFormat/>
    <w:rPr>
      <w:rFonts w:ascii="Arial" w:hAnsi="Arial" w:eastAsia="Arial" w:cs="Arial"/>
      <w:sz w:val="34"/>
    </w:rPr>
  </w:style>
  <w:style w:type="character" w:styleId="3">
    <w:name w:val="Заголовок 3 Знак"/>
    <w:qFormat/>
    <w:rPr>
      <w:rFonts w:ascii="Arial" w:hAnsi="Arial" w:eastAsia="Arial" w:cs="Arial"/>
      <w:sz w:val="30"/>
      <w:szCs w:val="30"/>
    </w:rPr>
  </w:style>
  <w:style w:type="character" w:styleId="4">
    <w:name w:val="Заголовок 4 Знак"/>
    <w:qFormat/>
    <w:rPr>
      <w:rFonts w:ascii="Arial" w:hAnsi="Arial" w:eastAsia="Arial" w:cs="Arial"/>
      <w:b/>
      <w:bCs/>
      <w:sz w:val="26"/>
      <w:szCs w:val="26"/>
    </w:rPr>
  </w:style>
  <w:style w:type="character" w:styleId="5">
    <w:name w:val="Заголовок 5 Знак"/>
    <w:qFormat/>
    <w:rPr>
      <w:rFonts w:ascii="Arial" w:hAnsi="Arial" w:eastAsia="Arial" w:cs="Arial"/>
      <w:b/>
      <w:bCs/>
      <w:sz w:val="24"/>
      <w:szCs w:val="24"/>
    </w:rPr>
  </w:style>
  <w:style w:type="character" w:styleId="6">
    <w:name w:val="Заголовок 6 Знак"/>
    <w:qFormat/>
    <w:rPr>
      <w:rFonts w:ascii="Arial" w:hAnsi="Arial" w:eastAsia="Arial" w:cs="Arial"/>
      <w:b/>
      <w:bCs/>
      <w:sz w:val="22"/>
      <w:szCs w:val="22"/>
    </w:rPr>
  </w:style>
  <w:style w:type="character" w:styleId="7">
    <w:name w:val="Заголовок 7 Знак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>
    <w:name w:val="Заголовок 8 Знак"/>
    <w:qFormat/>
    <w:rPr>
      <w:rFonts w:ascii="Arial" w:hAnsi="Arial" w:eastAsia="Arial" w:cs="Arial"/>
      <w:i/>
      <w:iCs/>
      <w:sz w:val="22"/>
      <w:szCs w:val="22"/>
    </w:rPr>
  </w:style>
  <w:style w:type="character" w:styleId="9">
    <w:name w:val="Заголовок 9 Знак"/>
    <w:qFormat/>
    <w:rPr>
      <w:rFonts w:ascii="Arial" w:hAnsi="Arial" w:eastAsia="Arial" w:cs="Arial"/>
      <w:i/>
      <w:iCs/>
      <w:sz w:val="21"/>
      <w:szCs w:val="21"/>
    </w:rPr>
  </w:style>
  <w:style w:type="character" w:styleId="Style6">
    <w:name w:val="Название Знак"/>
    <w:qFormat/>
    <w:rPr>
      <w:sz w:val="48"/>
      <w:szCs w:val="48"/>
    </w:rPr>
  </w:style>
  <w:style w:type="character" w:styleId="Style7">
    <w:name w:val="Подзаголовок Знак"/>
    <w:qFormat/>
    <w:rPr>
      <w:sz w:val="24"/>
      <w:szCs w:val="24"/>
    </w:rPr>
  </w:style>
  <w:style w:type="character" w:styleId="21">
    <w:name w:val="Цитата 2 Знак"/>
    <w:qFormat/>
    <w:rPr>
      <w:i/>
    </w:rPr>
  </w:style>
  <w:style w:type="character" w:styleId="Style8">
    <w:name w:val="Выделенная цитата Знак"/>
    <w:qFormat/>
    <w:rPr>
      <w:i/>
    </w:rPr>
  </w:style>
  <w:style w:type="character" w:styleId="Style9">
    <w:name w:val="Верхний колонтитул Знак"/>
    <w:basedOn w:val="Style5"/>
    <w:qFormat/>
    <w:rPr/>
  </w:style>
  <w:style w:type="character" w:styleId="FooterChar">
    <w:name w:val="Footer Char"/>
    <w:basedOn w:val="Style5"/>
    <w:qFormat/>
    <w:rPr/>
  </w:style>
  <w:style w:type="character" w:styleId="Style10">
    <w:name w:val="Нижний колонтитул Знак"/>
    <w:qFormat/>
    <w:rPr/>
  </w:style>
  <w:style w:type="character" w:styleId="Hyperlink">
    <w:name w:val="Hyperlink"/>
    <w:rPr>
      <w:color w:val="0000FF"/>
      <w:u w:val="single"/>
    </w:rPr>
  </w:style>
  <w:style w:type="character" w:styleId="Style11">
    <w:name w:val="Текст сноски Знак"/>
    <w:qFormat/>
    <w:rPr>
      <w:sz w:val="18"/>
    </w:rPr>
  </w:style>
  <w:style w:type="character" w:styleId="FootnoteCharacters">
    <w:name w:val="Footnote Characters"/>
    <w:qFormat/>
    <w:rPr>
      <w:vertAlign w:val="superscript"/>
    </w:rPr>
  </w:style>
  <w:style w:type="character" w:styleId="Style12">
    <w:name w:val="Текст концевой сноски Знак"/>
    <w:qFormat/>
    <w:rPr>
      <w:sz w:val="20"/>
    </w:rPr>
  </w:style>
  <w:style w:type="character" w:styleId="EndnoteCharacters">
    <w:name w:val="Endnote Characters"/>
    <w:qFormat/>
    <w:rPr>
      <w:vertAlign w:val="superscript"/>
    </w:rPr>
  </w:style>
  <w:style w:type="paragraph" w:styleId="Heading">
    <w:name w:val="Heading"/>
    <w:basedOn w:val="Normal"/>
    <w:next w:val="Normal"/>
    <w:qFormat/>
    <w:pPr>
      <w:spacing w:before="300" w:after="200"/>
      <w:contextualSpacing/>
    </w:pPr>
    <w:rPr>
      <w:sz w:val="48"/>
      <w:szCs w:val="4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Subtitle">
    <w:name w:val="Subtitle"/>
    <w:basedOn w:val="Normal"/>
    <w:next w:val="Normal"/>
    <w:qFormat/>
    <w:pPr>
      <w:spacing w:before="200" w:after="200"/>
    </w:pPr>
    <w:rPr>
      <w:sz w:val="24"/>
      <w:szCs w:val="24"/>
    </w:rPr>
  </w:style>
  <w:style w:type="paragraph" w:styleId="22">
    <w:name w:val="Цитата 2"/>
    <w:basedOn w:val="Normal"/>
    <w:next w:val="Normal"/>
    <w:qFormat/>
    <w:pPr>
      <w:ind w:hanging="0" w:left="720" w:right="720"/>
    </w:pPr>
    <w:rPr>
      <w:i/>
    </w:rPr>
  </w:style>
  <w:style w:type="paragraph" w:styleId="Style13">
    <w:name w:val="Выделенная цитата"/>
    <w:basedOn w:val="Normal"/>
    <w:next w:val="Normal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fill="F2F2F2" w:val="clear"/>
      <w:ind w:hanging="0" w:left="720" w:right="720"/>
    </w:pPr>
    <w:rPr>
      <w:i/>
    </w:rPr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Normal"/>
    <w:pPr>
      <w:spacing w:lineRule="auto" w:line="240" w:before="0" w:after="0"/>
    </w:pPr>
    <w:rPr/>
  </w:style>
  <w:style w:type="paragraph" w:styleId="Footer">
    <w:name w:val="Footer"/>
    <w:basedOn w:val="Normal"/>
    <w:pPr>
      <w:spacing w:lineRule="auto" w:line="240" w:before="0" w:after="0"/>
    </w:pPr>
    <w:rPr/>
  </w:style>
  <w:style w:type="paragraph" w:styleId="Style14">
    <w:name w:val="Название объекта"/>
    <w:basedOn w:val="Normal"/>
    <w:next w:val="Normal"/>
    <w:qFormat/>
    <w:pPr/>
    <w:rPr>
      <w:b/>
      <w:bCs/>
      <w:color w:val="4F81BD"/>
      <w:sz w:val="18"/>
      <w:szCs w:val="18"/>
    </w:rPr>
  </w:style>
  <w:style w:type="paragraph" w:styleId="FootnoteText">
    <w:name w:val="Footnote Text"/>
    <w:basedOn w:val="Normal"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next w:val="Normal"/>
    <w:pPr>
      <w:spacing w:before="0" w:after="57"/>
    </w:pPr>
    <w:rPr/>
  </w:style>
  <w:style w:type="paragraph" w:styleId="TOC2">
    <w:name w:val="TOC 2"/>
    <w:basedOn w:val="Normal"/>
    <w:next w:val="Normal"/>
    <w:pPr>
      <w:spacing w:before="0" w:after="57"/>
      <w:ind w:hanging="0" w:left="283" w:right="0"/>
    </w:pPr>
    <w:rPr/>
  </w:style>
  <w:style w:type="paragraph" w:styleId="TOC3">
    <w:name w:val="TOC 3"/>
    <w:basedOn w:val="Normal"/>
    <w:next w:val="Normal"/>
    <w:pPr>
      <w:spacing w:before="0" w:after="57"/>
      <w:ind w:hanging="0" w:left="567" w:right="0"/>
    </w:pPr>
    <w:rPr/>
  </w:style>
  <w:style w:type="paragraph" w:styleId="TOC4">
    <w:name w:val="TOC 4"/>
    <w:basedOn w:val="Normal"/>
    <w:next w:val="Normal"/>
    <w:pPr>
      <w:spacing w:before="0" w:after="57"/>
      <w:ind w:hanging="0" w:left="850" w:right="0"/>
    </w:pPr>
    <w:rPr/>
  </w:style>
  <w:style w:type="paragraph" w:styleId="TOC5">
    <w:name w:val="TOC 5"/>
    <w:basedOn w:val="Normal"/>
    <w:next w:val="Normal"/>
    <w:pPr>
      <w:spacing w:before="0" w:after="57"/>
      <w:ind w:hanging="0" w:left="1134" w:right="0"/>
    </w:pPr>
    <w:rPr/>
  </w:style>
  <w:style w:type="paragraph" w:styleId="TOC6">
    <w:name w:val="TOC 6"/>
    <w:basedOn w:val="Normal"/>
    <w:next w:val="Normal"/>
    <w:pPr>
      <w:spacing w:before="0" w:after="57"/>
      <w:ind w:hanging="0" w:left="1417" w:right="0"/>
    </w:pPr>
    <w:rPr/>
  </w:style>
  <w:style w:type="paragraph" w:styleId="TOC7">
    <w:name w:val="TOC 7"/>
    <w:basedOn w:val="Normal"/>
    <w:next w:val="Normal"/>
    <w:pPr>
      <w:spacing w:before="0" w:after="57"/>
      <w:ind w:hanging="0" w:left="1701" w:right="0"/>
    </w:pPr>
    <w:rPr/>
  </w:style>
  <w:style w:type="paragraph" w:styleId="TOC8">
    <w:name w:val="TOC 8"/>
    <w:basedOn w:val="Normal"/>
    <w:next w:val="Normal"/>
    <w:pPr>
      <w:spacing w:before="0" w:after="57"/>
      <w:ind w:hanging="0" w:left="1984" w:right="0"/>
    </w:pPr>
    <w:rPr/>
  </w:style>
  <w:style w:type="paragraph" w:styleId="TOC9">
    <w:name w:val="TOC 9"/>
    <w:basedOn w:val="Normal"/>
    <w:next w:val="Normal"/>
    <w:pPr>
      <w:spacing w:before="0" w:after="57"/>
      <w:ind w:hanging="0" w:left="2268" w:right="0"/>
    </w:pPr>
    <w:rPr/>
  </w:style>
  <w:style w:type="paragraph" w:styleId="Style15">
    <w:name w:val="Заголовок оглавления"/>
    <w:qFormat/>
    <w:pPr>
      <w:widowControl/>
      <w:bidi w:val="0"/>
      <w:spacing w:lineRule="auto" w:line="276" w:before="0" w:after="200"/>
    </w:pPr>
    <w:rPr>
      <w:rFonts w:ascii="Calibri" w:hAnsi="Calibri" w:eastAsia="Calibri" w:cs="Times New Roman"/>
      <w:color w:val="auto"/>
      <w:sz w:val="22"/>
      <w:szCs w:val="22"/>
      <w:lang w:val="ru-RU" w:bidi="ar-SA" w:eastAsia="zh-CN"/>
    </w:rPr>
  </w:style>
  <w:style w:type="paragraph" w:styleId="Style16">
    <w:name w:val="Перечень рисунков"/>
    <w:basedOn w:val="Normal"/>
    <w:next w:val="Normal"/>
    <w:qFormat/>
    <w:pPr>
      <w:spacing w:before="0" w:after="0"/>
    </w:pPr>
    <w:rPr/>
  </w:style>
  <w:style w:type="paragraph" w:styleId="ListParagraph1">
    <w:name w:val="List Paragraph1"/>
    <w:basedOn w:val="Normal"/>
    <w:qFormat/>
    <w:pPr>
      <w:ind w:hanging="0" w:left="720" w:right="0"/>
    </w:pPr>
    <w:rPr>
      <w:rFonts w:eastAsia="Times New Roman" w:cs="Calibri"/>
    </w:rPr>
  </w:style>
  <w:style w:type="paragraph" w:styleId="Style17">
    <w:name w:val="Абзац списка"/>
    <w:basedOn w:val="Normal"/>
    <w:qFormat/>
    <w:pPr>
      <w:spacing w:before="0" w:after="200"/>
      <w:ind w:hanging="0" w:left="720" w:right="0"/>
      <w:contextualSpacing/>
    </w:pPr>
    <w:rPr/>
  </w:style>
  <w:style w:type="paragraph" w:styleId="Style18">
    <w:name w:val="Без интервала"/>
    <w:qFormat/>
    <w:pPr>
      <w:widowControl/>
      <w:bidi w:val="0"/>
    </w:pPr>
    <w:rPr>
      <w:rFonts w:ascii="Calibri" w:hAnsi="Calibri" w:eastAsia="Calibri" w:cs="Times New Roman"/>
      <w:color w:val="auto"/>
      <w:sz w:val="22"/>
      <w:szCs w:val="22"/>
      <w:lang w:val="ru-RU" w:bidi="ar-SA" w:eastAsia="zh-CN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LibreOffice/7.6.7.2$Linux_X86_64 LibreOffice_project/60$Build-2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2026-06-18T13:33:00Z</dcterms:created>
  <dc:creator>Бикмурзина Екатерина Геннадьевна</dc:creator>
  <dc:description/>
  <dc:language>en-US</dc:language>
  <cp:lastModifiedBy>Бикмурзина Екатерина Геннадьевна</cp:lastModifiedBy>
  <dcterms:modified xsi:type="dcterms:W3CDTF">2026-06-18T13:33:00Z</dcterms:modified>
  <cp:revision>2</cp:revision>
  <dc:subject/>
  <dc:title/>
</cp:coreProperties>
</file>