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РЕШЕНИЕ </w:t>
      </w:r>
    </w:p>
    <w:p>
      <w:pPr>
        <w:pStyle w:val="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по делу № 023/06/49-2767/2026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о нарушении законодательства в сфере закупок товаров, работ, услуг для обеспечения государственных и муниципальных нужд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17 июня 2026 года                                                                                                      г. Краснодар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ab/>
        <w:t>проведена внеплановая проверка в отношении заказчика – ФГБВУ «Центррегионводхоз» филиал «Краснодарское водохранилище» при проведении электронного аукциона: «Поставка электроматериалов для нужд Филиала «Краснодарское водохранилище» ФГБУ «Центррегионводхоз» (извещение № 0318400005026000034) в части нарушения законодательства о контрактной системе,</w:t>
      </w:r>
    </w:p>
    <w:p>
      <w:pPr>
        <w:pStyle w:val="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УСТАНОВИЛА: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В Краснодарское УФАС России поступило обращение заказчика, согласно которому по результатам проведения закупки невозможно с победителем закупки заключить контракт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Закон о контрактной системе). 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  <w:t>Рассмотрев представленные материалы, Комиссия пришла к следующим выводам.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  <w:t xml:space="preserve">Заказчиком – 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ФГБВУ «Центррегионводхоз» филиал «Краснодарское водохранилище» в ЕИС 10.04.2026 </w:t>
      </w:r>
      <w:r>
        <w:rPr>
          <w:rFonts w:cs="Times New Roman" w:ascii="Times New Roman" w:hAnsi="Times New Roman"/>
          <w:sz w:val="24"/>
          <w:szCs w:val="24"/>
        </w:rPr>
        <w:t xml:space="preserve">размещено извещение о проведении 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электронного аукциона: «Поставка электроматериалов для нужд Филиала «Краснодарское водохранилище» ФГБУ «Центррегионводхоз» (извещение № 0318400005026000034) с НМЦК 596 966,29 рублей. 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ab/>
        <w:t>03.05.2026 по предписанию Краснодарского УФАС России №97 от 23.04.2026 по делу № 023/06/105-1690/2026 в извещение закупки внесены изменения, продлен срок окончания подачи заявок до 13.05.2026.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 соответствии с ч.2 ст.42 Закона о контрактной системе извещение об осуществлении закупки, если иное не предусмотрено настоящим Федеральным законом, должно содержать следующие электронные документы: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1) описание объекта закупки в соответствии со статьей 33 настоящего Федерального закона;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2) обоснование начальной (максимальной) цены контракта с указанием информации о валюте, используемой для формирования цены контракта и расчетов с поставщиком (подрядчиком, исполнителем), порядка применения официального курса иностранной валюты к рублю Российской Федерации, установленного Центральным банком Российской Федерации и используемого при оплате контракта;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3) требования к содержанию, составу заявки на участие в закупке в соответствии с настоящим Федеральным законом и инструкция по ее заполнению. При этом не допускается установление требований, влекущих за собой ограничение количества участников закупки;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4) порядок рассмотрения и оценки заявок на участие в конкурсах в соответствии с настоящим Федеральным законом;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5) проект контракта.</w:t>
      </w:r>
    </w:p>
    <w:p>
      <w:pPr>
        <w:pStyle w:val="Normal"/>
        <w:ind w:firstLine="54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В Описании объекта закупки заказчиком установлены требования к закупаемому товару с указанием характеристик:</w:t>
      </w:r>
    </w:p>
    <w:p>
      <w:pPr>
        <w:pStyle w:val="Normal"/>
        <w:ind w:firstLine="54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- комплект промежуточной подвести </w:t>
      </w:r>
      <w:r>
        <w:rPr>
          <w:rFonts w:eastAsia="Times New Roman" w:cs="Times New Roman" w:ascii="Times New Roman" w:hAnsi="Times New Roman"/>
          <w:sz w:val="24"/>
          <w:szCs w:val="24"/>
          <w:lang w:val="en-US"/>
        </w:rPr>
        <w:t>ES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1500 ОКПД2 27.33.13.130;</w:t>
      </w:r>
    </w:p>
    <w:p>
      <w:pPr>
        <w:pStyle w:val="Normal"/>
        <w:ind w:firstLine="54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- зажим ответвительный изолированный ЗОИ (35-150/35-150) ОКПД2 27.33.13.120;</w:t>
      </w:r>
    </w:p>
    <w:p>
      <w:pPr>
        <w:pStyle w:val="Normal"/>
        <w:ind w:firstLine="54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- набор электромонтажника НИЭ-04 ОКПД2 25.73.30.299;</w:t>
      </w:r>
    </w:p>
    <w:p>
      <w:pPr>
        <w:pStyle w:val="Normal"/>
        <w:ind w:firstLine="54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- зажим ответвительный изолированный ЗОИ (16-95/2,5-35) ОКПД2 27.33.13.120;</w:t>
      </w:r>
    </w:p>
    <w:p>
      <w:pPr>
        <w:pStyle w:val="Normal"/>
        <w:ind w:firstLine="54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- гильза соединительная кабельная КТРУ 27.33.13.130-00000001;</w:t>
      </w:r>
    </w:p>
    <w:p>
      <w:pPr>
        <w:pStyle w:val="Normal"/>
        <w:ind w:firstLine="54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- скрепа-бугель усиленная СУ-20 ОКПД2 27.33.13.120;</w:t>
      </w:r>
    </w:p>
    <w:p>
      <w:pPr>
        <w:pStyle w:val="Normal"/>
        <w:ind w:firstLine="54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- провод ПВС ОКПД2 27.32.14.120;</w:t>
      </w:r>
    </w:p>
    <w:p>
      <w:pPr>
        <w:pStyle w:val="Normal"/>
        <w:ind w:firstLine="54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- зажим анкерный ЗАБ ОКПД2 27.33.13.120;</w:t>
      </w:r>
    </w:p>
    <w:p>
      <w:pPr>
        <w:pStyle w:val="Normal"/>
        <w:ind w:firstLine="54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- лента бандажная ЛМ-50 ОКПД2 27.33.13.120;</w:t>
      </w:r>
    </w:p>
    <w:p>
      <w:pPr>
        <w:pStyle w:val="Normal"/>
        <w:ind w:firstLine="54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- техпластина МБС-С ОКПД2 22.19.20.120; </w:t>
      </w:r>
    </w:p>
    <w:p>
      <w:pPr>
        <w:pStyle w:val="Normal"/>
        <w:ind w:firstLine="54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- зажим анкерный клиновый РА 1500 ОКПД2 27.33.13.120;</w:t>
      </w:r>
    </w:p>
    <w:p>
      <w:pPr>
        <w:pStyle w:val="Normal"/>
        <w:ind w:firstLine="54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- кронштейн анкерный СА 1500 ОКПД2 27.33.13.130;</w:t>
      </w:r>
    </w:p>
    <w:p>
      <w:pPr>
        <w:pStyle w:val="Normal"/>
        <w:ind w:firstLine="54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- выключатель автоматический ВА57 ОКПД2 27.33.11.110;</w:t>
      </w:r>
    </w:p>
    <w:p>
      <w:pPr>
        <w:pStyle w:val="Normal"/>
        <w:ind w:firstLine="54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- самонесущий изолированный провод для воздушных линий электропередачи на номинальное напряжение до 0,6/1 кВ включительно КТРУ 27.32.13.000-00000001;</w:t>
      </w:r>
    </w:p>
    <w:p>
      <w:pPr>
        <w:pStyle w:val="Normal"/>
        <w:ind w:firstLine="54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- самонесущий изолированный провод для воздушных линий электропередачи на номинальное напряжение до 0,6/1 кВ включительно КТРУ 27.32.13.000-00000001.</w:t>
      </w:r>
    </w:p>
    <w:p>
      <w:pPr>
        <w:pStyle w:val="Normal"/>
        <w:ind w:firstLine="540"/>
        <w:jc w:val="both"/>
        <w:rPr>
          <w:rFonts w:ascii="Times New Roman" w:hAnsi="Times New Roman" w:eastAsia="Times New Roman" w:cs="Times New Roman"/>
          <w:sz w:val="24"/>
          <w:szCs w:val="24"/>
          <w:lang w:val="en-US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В соответствии с протоколом подведения итогов определения поставщика от 15.05.2026 на участие подано 11 заявок. 8 заявок отклонено на основании п.4) ч.12 ст.48 Закона о контрактной системе, 3 заявки соответствуют.</w:t>
      </w:r>
    </w:p>
    <w:p>
      <w:pPr>
        <w:pStyle w:val="Normal"/>
        <w:ind w:firstLine="54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Заказчик пояснил, что 19.05.2026 при направлении проекта контракта победителю возникли ошибки в ЕИС. </w:t>
      </w:r>
    </w:p>
    <w:p>
      <w:pPr>
        <w:pStyle w:val="Normal"/>
        <w:ind w:firstLine="54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27.05.2026 от специалиста технической поддержки получен комментарий, согласно которому была допущена заявка участника закупки, поданная на неактуальную версию извещения об осуществлении закупки и содержащая информацию, не соответствующую актуальной (третьей) версии извещения (в части предложения в отношении объекта закупки с учетом характеристик, соответствующие показателям, установленным в описании объекта закупки, в соответствии с подпунктом «а» пункта 2 части 1 статьи 43 Закона о контрактной системе, в настоящее время не представляется возможным корректно сформировать проект структурированного контракта. </w:t>
      </w:r>
    </w:p>
    <w:p>
      <w:pPr>
        <w:pStyle w:val="Normal"/>
        <w:ind w:firstLine="54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Так, например, в предложении участника закупки по объекту гильза соединительная кабельная (№211036356) указаны показатели: гильза изолированная ГИН 70, сечение подключаемого проводника вид наконечника, диапазон напряжения, которые не соответствуют актуальным требованиям извещения в отношении объекта гильза соединительная кабельная (№21036356). Кроме того, в актуальной версии извещения удалены объекты закупки: Провод СИП-3, Провод СИП-4.</w:t>
      </w:r>
    </w:p>
    <w:p>
      <w:pPr>
        <w:pStyle w:val="S1"/>
        <w:shd w:val="clear" w:color="auto" w:fill="FFFFFF"/>
        <w:spacing w:beforeAutospacing="0" w:before="0" w:afterAutospacing="0" w:after="300"/>
        <w:ind w:firstLine="708"/>
        <w:jc w:val="both"/>
        <w:rPr>
          <w:color w:val="464C55"/>
        </w:rPr>
      </w:pPr>
      <w:r>
        <w:rPr>
          <w:color w:val="464C55"/>
        </w:rPr>
        <w:t>В соответствии с ч.5 ст.49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закупки:</w:t>
      </w:r>
    </w:p>
    <w:p>
      <w:pPr>
        <w:pStyle w:val="S1"/>
        <w:shd w:val="clear" w:color="auto" w:fill="FFFFFF"/>
        <w:spacing w:beforeAutospacing="0" w:before="0" w:afterAutospacing="0" w:after="300"/>
        <w:jc w:val="both"/>
        <w:rPr>
          <w:color w:val="464C55"/>
        </w:rPr>
      </w:pPr>
      <w:r>
        <w:rPr>
          <w:color w:val="464C55"/>
        </w:rPr>
        <w:t>1) члены комиссии по осуществлению закупок:</w:t>
      </w:r>
    </w:p>
    <w:p>
      <w:pPr>
        <w:pStyle w:val="S1"/>
        <w:shd w:val="clear" w:color="auto" w:fill="FFFFFF"/>
        <w:spacing w:beforeAutospacing="0" w:before="0" w:afterAutospacing="0" w:after="0"/>
        <w:jc w:val="both"/>
        <w:rPr>
          <w:color w:val="464C55"/>
        </w:rPr>
      </w:pPr>
      <w:r>
        <w:rPr>
          <w:color w:val="464C55"/>
        </w:rPr>
        <w:t>а) рассматривают заявки на участие в закупке, информацию и документы, направленные оператором электронной площадки в соответствии с </w:t>
      </w:r>
      <w:r>
        <w:fldChar w:fldCharType="begin"/>
      </w:r>
      <w:r>
        <w:rPr>
          <w:color w:val="3272C0"/>
        </w:rPr>
        <w:instrText> HYPERLINK "https://base.garant.ru/70353464/07bdd21ab547687f72d1294bbd35ef3e/" \l "block_4944"</w:instrText>
      </w:r>
      <w:r>
        <w:rPr>
          <w:color w:val="3272C0"/>
        </w:rPr>
        <w:fldChar w:fldCharType="separate"/>
      </w:r>
      <w:r>
        <w:rPr>
          <w:color w:val="3272C0"/>
        </w:rPr>
        <w:t>пунктом 4 части 4</w:t>
      </w:r>
      <w:r>
        <w:rPr>
          <w:color w:val="3272C0"/>
        </w:rPr>
        <w:fldChar w:fldCharType="end"/>
      </w:r>
      <w:r>
        <w:rPr>
          <w:color w:val="464C55"/>
        </w:rPr>
        <w:t> 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 </w:t>
      </w:r>
      <w:r>
        <w:fldChar w:fldCharType="begin"/>
      </w:r>
      <w:r>
        <w:rPr>
          <w:color w:val="3272C0"/>
        </w:rPr>
        <w:instrText> HYPERLINK "https://base.garant.ru/70353464/92409a09f2fd78349ae7c7f2064bf25a/" \l "block_48121"</w:instrText>
      </w:r>
      <w:r>
        <w:rPr>
          <w:color w:val="3272C0"/>
        </w:rPr>
        <w:fldChar w:fldCharType="separate"/>
      </w:r>
      <w:r>
        <w:rPr>
          <w:color w:val="3272C0"/>
        </w:rPr>
        <w:t>пунктами 1 - 8 части 12 статьи 48</w:t>
      </w:r>
      <w:r>
        <w:rPr>
          <w:color w:val="3272C0"/>
        </w:rPr>
        <w:fldChar w:fldCharType="end"/>
      </w:r>
      <w:r>
        <w:rPr>
          <w:color w:val="464C55"/>
        </w:rPr>
        <w:t> настоящего Федерального закона;</w:t>
      </w:r>
    </w:p>
    <w:p>
      <w:pPr>
        <w:pStyle w:val="S1"/>
        <w:shd w:val="clear" w:color="auto" w:fill="FFFFFF"/>
        <w:spacing w:beforeAutospacing="0" w:before="0" w:afterAutospacing="0" w:after="0"/>
        <w:jc w:val="both"/>
        <w:rPr>
          <w:color w:val="464C55"/>
        </w:rPr>
      </w:pPr>
      <w:r>
        <w:rPr>
          <w:color w:val="464C55"/>
        </w:rPr>
        <w:t>б) на основании информации, содержащейся в протоколе подачи ценовых предложений, а также результатов рассмотрения, предусмотренного </w:t>
      </w:r>
      <w:r>
        <w:fldChar w:fldCharType="begin"/>
      </w:r>
      <w:r>
        <w:rPr>
          <w:color w:val="3272C0"/>
        </w:rPr>
        <w:instrText> HYPERLINK "https://base.garant.ru/70353464/07bdd21ab547687f72d1294bbd35ef3e/" \l "block_49511"</w:instrText>
      </w:r>
      <w:r>
        <w:rPr>
          <w:color w:val="3272C0"/>
        </w:rPr>
        <w:fldChar w:fldCharType="separate"/>
      </w:r>
      <w:r>
        <w:rPr>
          <w:color w:val="3272C0"/>
        </w:rPr>
        <w:t>подпунктом "а"</w:t>
      </w:r>
      <w:r>
        <w:rPr>
          <w:color w:val="3272C0"/>
        </w:rPr>
        <w:fldChar w:fldCharType="end"/>
      </w:r>
      <w:r>
        <w:rPr>
          <w:color w:val="464C55"/>
        </w:rPr>
        <w:t> настоящего пункта,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пунктом 9 части 3 настоящей статьи, при котором порядковые номера заявкам участников закупки, подавших ценовые предложения после подачи ценового предложения, предусмотренного </w:t>
      </w:r>
      <w:r>
        <w:fldChar w:fldCharType="begin"/>
      </w:r>
      <w:r>
        <w:rPr>
          <w:color w:val="3272C0"/>
        </w:rPr>
        <w:instrText> HYPERLINK "https://base.garant.ru/70353464/07bdd21ab547687f72d1294bbd35ef3e/" \l "block_4939"</w:instrText>
      </w:r>
      <w:r>
        <w:rPr>
          <w:color w:val="3272C0"/>
        </w:rPr>
        <w:fldChar w:fldCharType="separate"/>
      </w:r>
      <w:r>
        <w:rPr>
          <w:color w:val="3272C0"/>
        </w:rPr>
        <w:t>абзацем первым пункта 9 части 3</w:t>
      </w:r>
      <w:r>
        <w:rPr>
          <w:color w:val="3272C0"/>
        </w:rPr>
        <w:fldChar w:fldCharType="end"/>
      </w:r>
      <w:r>
        <w:rPr>
          <w:color w:val="464C55"/>
        </w:rPr>
        <w:t> настоящей статьи,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 </w:t>
      </w:r>
      <w:r>
        <w:fldChar w:fldCharType="begin"/>
      </w:r>
      <w:r>
        <w:rPr>
          <w:u w:val="none"/>
          <w:color w:val="3272C0"/>
        </w:rPr>
        <w:instrText> HYPERLINK "https://base.garant.ru/70353464/888134b28b1397ffae87a0ab1e117954/" \l "block_14"</w:instrText>
      </w:r>
      <w:r>
        <w:rPr>
          <w:u w:val="none"/>
          <w:color w:val="3272C0"/>
        </w:rPr>
        <w:fldChar w:fldCharType="separate"/>
      </w:r>
      <w:r>
        <w:rPr>
          <w:color w:val="3272C0"/>
          <w:u w:val="none"/>
        </w:rPr>
        <w:t>статьей 14</w:t>
      </w:r>
      <w:r>
        <w:rPr>
          <w:u w:val="none"/>
          <w:color w:val="3272C0"/>
        </w:rPr>
        <w:fldChar w:fldCharType="end"/>
      </w:r>
      <w:r>
        <w:rPr>
          <w:color w:val="464C55"/>
        </w:rPr>
        <w:t> настоящего Федерального закона. Заявке на участие в закупке победителя определения поставщика (подрядчика, исполнителя) присваивается первый номер;</w:t>
      </w:r>
    </w:p>
    <w:p>
      <w:pPr>
        <w:pStyle w:val="S1"/>
        <w:shd w:val="clear" w:color="auto" w:fill="FFFFFF"/>
        <w:spacing w:beforeAutospacing="0" w:before="0" w:afterAutospacing="0" w:after="0"/>
        <w:jc w:val="both"/>
        <w:rPr>
          <w:color w:val="464C55"/>
        </w:rPr>
      </w:pPr>
      <w:r>
        <w:rPr>
          <w:color w:val="464C55"/>
        </w:rPr>
        <w:t>2) 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 </w:t>
      </w:r>
      <w:r>
        <w:fldChar w:fldCharType="begin"/>
      </w:r>
      <w:r>
        <w:rPr>
          <w:color w:val="3272C0"/>
        </w:rPr>
        <w:instrText> HYPERLINK "https://base.garant.ru/70353464/92409a09f2fd78349ae7c7f2064bf25a/" \l "block_48171"</w:instrText>
      </w:r>
      <w:r>
        <w:rPr>
          <w:color w:val="3272C0"/>
        </w:rPr>
        <w:fldChar w:fldCharType="separate"/>
      </w:r>
      <w:r>
        <w:rPr>
          <w:color w:val="3272C0"/>
        </w:rPr>
        <w:t>пунктами 1</w:t>
      </w:r>
      <w:r>
        <w:rPr>
          <w:color w:val="3272C0"/>
        </w:rPr>
        <w:fldChar w:fldCharType="end"/>
      </w:r>
      <w:r>
        <w:rPr>
          <w:color w:val="464C55"/>
        </w:rPr>
        <w:t>, </w:t>
      </w:r>
      <w:r>
        <w:fldChar w:fldCharType="begin"/>
      </w:r>
      <w:r>
        <w:rPr>
          <w:color w:val="3272C0"/>
        </w:rPr>
        <w:instrText> HYPERLINK "https://base.garant.ru/70353464/92409a09f2fd78349ae7c7f2064bf25a/" \l "block_48172"</w:instrText>
      </w:r>
      <w:r>
        <w:rPr>
          <w:color w:val="3272C0"/>
        </w:rPr>
        <w:fldChar w:fldCharType="separate"/>
      </w:r>
      <w:r>
        <w:rPr>
          <w:color w:val="3272C0"/>
        </w:rPr>
        <w:t>2</w:t>
      </w:r>
      <w:r>
        <w:rPr>
          <w:color w:val="3272C0"/>
        </w:rPr>
        <w:fldChar w:fldCharType="end"/>
      </w:r>
      <w:r>
        <w:rPr>
          <w:color w:val="464C55"/>
        </w:rPr>
        <w:t>, </w:t>
      </w:r>
      <w:r>
        <w:fldChar w:fldCharType="begin"/>
      </w:r>
      <w:r>
        <w:rPr>
          <w:color w:val="3272C0"/>
        </w:rPr>
        <w:instrText> HYPERLINK "https://base.garant.ru/70353464/92409a09f2fd78349ae7c7f2064bf25a/" \l "block_48174"</w:instrText>
      </w:r>
      <w:r>
        <w:rPr>
          <w:color w:val="3272C0"/>
        </w:rPr>
        <w:fldChar w:fldCharType="separate"/>
      </w:r>
      <w:r>
        <w:rPr>
          <w:color w:val="3272C0"/>
        </w:rPr>
        <w:t>4 - 7 части 17 статьи 48</w:t>
      </w:r>
      <w:r>
        <w:rPr>
          <w:color w:val="3272C0"/>
        </w:rPr>
        <w:fldChar w:fldCharType="end"/>
      </w:r>
      <w:r>
        <w:rPr>
          <w:color w:val="464C55"/>
        </w:rPr>
        <w:t> настоящего Федерального закона. После подписания членами комиссии по осуществлению закупок такого протокола усиленными </w:t>
      </w:r>
      <w:r>
        <w:fldChar w:fldCharType="begin"/>
      </w:r>
      <w:r>
        <w:rPr>
          <w:color w:val="3272C0"/>
        </w:rPr>
        <w:instrText> HYPERLINK "https://base.garant.ru/12184522/741609f9002bd54a24e5c49cb5af953b/" \l "block_21"</w:instrText>
      </w:r>
      <w:r>
        <w:rPr>
          <w:color w:val="3272C0"/>
        </w:rPr>
        <w:fldChar w:fldCharType="separate"/>
      </w:r>
      <w:r>
        <w:rPr>
          <w:color w:val="3272C0"/>
        </w:rPr>
        <w:t>электронными подписями</w:t>
      </w:r>
      <w:r>
        <w:rPr>
          <w:color w:val="3272C0"/>
        </w:rPr>
        <w:fldChar w:fldCharType="end"/>
      </w:r>
      <w:r>
        <w:rPr>
          <w:color w:val="464C55"/>
        </w:rPr>
        <w:t xml:space="preserve"> 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 </w:t>
      </w:r>
    </w:p>
    <w:p>
      <w:pPr>
        <w:pStyle w:val="Normal"/>
        <w:ind w:firstLine="54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В силу п.1) ч.12 ст.48 Закона о контрактной системе при рассмотрении вторых частей заявок на участие в закупке соответствующая заявка подлежит отклонению в случаях: непредставления (за исключением случаев, предусмотренных настоящим Федеральным законом)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2 и 3 части 6 статьи 43 настоящего Федерального закона), несоответствия таких информации и документов требованиям, установленным в извещении об осуществлении закупки.</w:t>
      </w:r>
    </w:p>
    <w:p>
      <w:pPr>
        <w:pStyle w:val="Normal"/>
        <w:ind w:firstLine="54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Таким образом, комиссией заказчика при рассмотрении заявок допущено нарушение ч.5 ст.49, п.1) ч.12 ст.48 Закона о контрактной системе, что повлекло признание победителем участника с предложением, не соответствующим Описанию объекта закупки и невозможности заключения контракта на условиях извещения закупки.</w:t>
      </w:r>
    </w:p>
    <w:p>
      <w:pPr>
        <w:pStyle w:val="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Комиссия, руководствуясь ч.15, ч.22, ч.23 ст.99 Закона о контрактной системе,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left="0" w:firstLine="54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РЕШИЛА: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left="0"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По результатам проведения внеплановой проверки </w:t>
      </w:r>
      <w:r>
        <w:rPr>
          <w:rFonts w:cs="Times New Roman" w:ascii="Times New Roman" w:hAnsi="Times New Roman"/>
          <w:sz w:val="24"/>
          <w:szCs w:val="24"/>
        </w:rPr>
        <w:t>признать в действиях комиссии заказчика –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ФГБВУ «Центррегионводхоз» филиал «Краснодарское водохранилище»</w:t>
      </w:r>
      <w:r>
        <w:rPr>
          <w:rFonts w:cs="Times New Roman" w:ascii="Times New Roman" w:hAnsi="Times New Roman"/>
          <w:sz w:val="24"/>
          <w:szCs w:val="24"/>
        </w:rPr>
        <w:t xml:space="preserve"> нарушение </w:t>
      </w:r>
      <w:r>
        <w:rPr>
          <w:rFonts w:eastAsia="Times New Roman" w:cs="Times New Roman" w:ascii="Times New Roman" w:hAnsi="Times New Roman"/>
          <w:sz w:val="24"/>
          <w:szCs w:val="24"/>
        </w:rPr>
        <w:t>ч.5 ст.49, п.1) ч.1 ст.48 Закона о контрактной системе.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Заказчику (комиссии) –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ФГБВУ «Центррегионводхоз» филиал «Краснодарское водохранилище» </w:t>
      </w:r>
      <w:r>
        <w:rPr>
          <w:rFonts w:cs="Times New Roman" w:ascii="Times New Roman" w:hAnsi="Times New Roman"/>
          <w:sz w:val="24"/>
          <w:szCs w:val="24"/>
        </w:rPr>
        <w:t>выдать предписание об устранении нарушений Закона о контрактной системе.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Передать материалы дела уполномоченному должностному лицу для рассмотрения вопроса о возбуждении административного производства по ч.7 ст.7.30.1 КоАП.</w:t>
      </w:r>
    </w:p>
    <w:p>
      <w:pPr>
        <w:pStyle w:val="ListParagraph"/>
        <w:ind w:left="1260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Настоящее решение может быть обжаловано в арбитражном суде в течение трех месяцев в установленном законом порядке.</w:t>
      </w:r>
    </w:p>
    <w:p>
      <w:pPr>
        <w:pStyle w:val="ListParagraph"/>
        <w:tabs>
          <w:tab w:val="clear" w:pos="708"/>
          <w:tab w:val="left" w:pos="3889" w:leader="none"/>
        </w:tabs>
        <w:ind w:left="900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</w:r>
    </w:p>
    <w:p>
      <w:pPr>
        <w:pStyle w:val="ListParagraph"/>
        <w:ind w:left="900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spacing w:before="0" w:after="200"/>
        <w:rPr>
          <w:rFonts w:ascii="Times New Roman" w:hAnsi="Times New Roman" w:cs="Times New Roman"/>
          <w:sz w:val="24"/>
          <w:szCs w:val="24"/>
        </w:rPr>
      </w:pPr>
      <w:r>
        <w:rPr/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12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2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32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3f6393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next w:val="Normal"/>
    <w:link w:val="10"/>
    <w:uiPriority w:val="9"/>
    <w:qFormat/>
    <w:rsid w:val="0063166c"/>
    <w:pPr>
      <w:keepNext w:val="true"/>
      <w:keepLines/>
      <w:spacing w:before="240" w:after="0"/>
      <w:outlineLvl w:val="0"/>
    </w:pPr>
    <w:rPr>
      <w:rFonts w:ascii="Cambria" w:hAnsi="Cambria" w:eastAsia="" w:cs="" w:asciiTheme="majorHAnsi" w:cstheme="majorBidi" w:eastAsiaTheme="majorEastAsia" w:hAnsiTheme="majorHAnsi"/>
      <w:color w:val="365F91" w:themeColor="accent1" w:themeShade="bf"/>
      <w:sz w:val="32"/>
      <w:szCs w:val="32"/>
    </w:rPr>
  </w:style>
  <w:style w:type="paragraph" w:styleId="2">
    <w:name w:val="Heading 2"/>
    <w:basedOn w:val="Normal"/>
    <w:link w:val="20"/>
    <w:uiPriority w:val="9"/>
    <w:qFormat/>
    <w:rsid w:val="00457432"/>
    <w:pPr>
      <w:spacing w:lineRule="auto" w:line="240" w:beforeAutospacing="1" w:afterAutospacing="1"/>
      <w:outlineLvl w:val="1"/>
    </w:pPr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paragraph" w:styleId="5">
    <w:name w:val="Heading 5"/>
    <w:basedOn w:val="Normal"/>
    <w:next w:val="Normal"/>
    <w:link w:val="50"/>
    <w:uiPriority w:val="9"/>
    <w:semiHidden/>
    <w:unhideWhenUsed/>
    <w:qFormat/>
    <w:rsid w:val="00ad4d22"/>
    <w:pPr>
      <w:keepNext w:val="true"/>
      <w:keepLines/>
      <w:spacing w:before="40" w:after="0"/>
      <w:outlineLvl w:val="4"/>
    </w:pPr>
    <w:rPr>
      <w:rFonts w:ascii="Cambria" w:hAnsi="Cambria" w:eastAsia="" w:cs="" w:asciiTheme="majorHAnsi" w:cstheme="majorBidi" w:eastAsiaTheme="majorEastAsia" w:hAnsiTheme="majorHAnsi"/>
      <w:color w:val="365F91" w:themeColor="accent1" w:themeShade="bf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Интернет-ссылка"/>
    <w:basedOn w:val="DefaultParagraphFont"/>
    <w:uiPriority w:val="99"/>
    <w:unhideWhenUsed/>
    <w:rsid w:val="003f6393"/>
    <w:rPr>
      <w:color w:val="0000FF"/>
      <w:u w:val="single"/>
    </w:rPr>
  </w:style>
  <w:style w:type="character" w:styleId="21" w:customStyle="1">
    <w:name w:val="Заголовок 2 Знак"/>
    <w:basedOn w:val="DefaultParagraphFont"/>
    <w:link w:val="2"/>
    <w:uiPriority w:val="9"/>
    <w:qFormat/>
    <w:rsid w:val="00457432"/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character" w:styleId="Sectioninfo" w:customStyle="1">
    <w:name w:val="section__info"/>
    <w:basedOn w:val="DefaultParagraphFont"/>
    <w:qFormat/>
    <w:rsid w:val="00457432"/>
    <w:rPr/>
  </w:style>
  <w:style w:type="character" w:styleId="Sectiontitle" w:customStyle="1">
    <w:name w:val="section__title"/>
    <w:basedOn w:val="DefaultParagraphFont"/>
    <w:qFormat/>
    <w:rsid w:val="00457432"/>
    <w:rPr/>
  </w:style>
  <w:style w:type="character" w:styleId="Timezonename" w:customStyle="1">
    <w:name w:val="timezonename"/>
    <w:basedOn w:val="DefaultParagraphFont"/>
    <w:qFormat/>
    <w:rsid w:val="00457432"/>
    <w:rPr/>
  </w:style>
  <w:style w:type="character" w:styleId="Z" w:customStyle="1">
    <w:name w:val="z-Начало формы Знак"/>
    <w:basedOn w:val="DefaultParagraphFont"/>
    <w:link w:val="z-"/>
    <w:uiPriority w:val="99"/>
    <w:semiHidden/>
    <w:qFormat/>
    <w:rsid w:val="00457432"/>
    <w:rPr>
      <w:rFonts w:ascii="Arial" w:hAnsi="Arial" w:eastAsia="Times New Roman" w:cs="Arial"/>
      <w:vanish/>
      <w:sz w:val="16"/>
      <w:szCs w:val="16"/>
      <w:lang w:eastAsia="ru-RU"/>
    </w:rPr>
  </w:style>
  <w:style w:type="character" w:styleId="Z1" w:customStyle="1">
    <w:name w:val="z-Конец формы Знак"/>
    <w:basedOn w:val="DefaultParagraphFont"/>
    <w:link w:val="z-1"/>
    <w:uiPriority w:val="99"/>
    <w:semiHidden/>
    <w:qFormat/>
    <w:rsid w:val="00457432"/>
    <w:rPr>
      <w:rFonts w:ascii="Arial" w:hAnsi="Arial" w:eastAsia="Times New Roman" w:cs="Arial"/>
      <w:vanish/>
      <w:sz w:val="16"/>
      <w:szCs w:val="16"/>
      <w:lang w:eastAsia="ru-RU"/>
    </w:rPr>
  </w:style>
  <w:style w:type="character" w:styleId="11" w:customStyle="1">
    <w:name w:val="Заголовок 1 Знак"/>
    <w:basedOn w:val="DefaultParagraphFont"/>
    <w:link w:val="1"/>
    <w:uiPriority w:val="9"/>
    <w:qFormat/>
    <w:rsid w:val="0063166c"/>
    <w:rPr>
      <w:rFonts w:ascii="Cambria" w:hAnsi="Cambria" w:eastAsia="" w:cs="" w:asciiTheme="majorHAnsi" w:cstheme="majorBidi" w:eastAsiaTheme="majorEastAsia" w:hAnsiTheme="majorHAnsi"/>
      <w:color w:val="365F91" w:themeColor="accent1" w:themeShade="bf"/>
      <w:sz w:val="32"/>
      <w:szCs w:val="32"/>
    </w:rPr>
  </w:style>
  <w:style w:type="character" w:styleId="51" w:customStyle="1">
    <w:name w:val="Заголовок 5 Знак"/>
    <w:basedOn w:val="DefaultParagraphFont"/>
    <w:link w:val="5"/>
    <w:uiPriority w:val="9"/>
    <w:semiHidden/>
    <w:qFormat/>
    <w:rsid w:val="00ad4d22"/>
    <w:rPr>
      <w:rFonts w:ascii="Cambria" w:hAnsi="Cambria" w:eastAsia="" w:cs="" w:asciiTheme="majorHAnsi" w:cstheme="majorBidi" w:eastAsiaTheme="majorEastAsia" w:hAnsiTheme="majorHAnsi"/>
      <w:color w:val="365F91" w:themeColor="accent1" w:themeShade="bf"/>
    </w:rPr>
  </w:style>
  <w:style w:type="character" w:styleId="ConsPlusNormal" w:customStyle="1">
    <w:name w:val="ConsPlusNormal Знак"/>
    <w:link w:val="ConsPlusNormal0"/>
    <w:qFormat/>
    <w:locked/>
    <w:rsid w:val="00f07904"/>
    <w:rPr>
      <w:rFonts w:ascii="Arial" w:hAnsi="Arial" w:cs="Arial"/>
    </w:rPr>
  </w:style>
  <w:style w:type="character" w:styleId="Style12" w:customStyle="1">
    <w:name w:val="Основной текст_"/>
    <w:basedOn w:val="DefaultParagraphFont"/>
    <w:link w:val="11"/>
    <w:qFormat/>
    <w:locked/>
    <w:rsid w:val="00f07904"/>
    <w:rPr>
      <w:rFonts w:ascii="Times New Roman" w:hAnsi="Times New Roman" w:eastAsia="Times New Roman" w:cs="Times New Roman"/>
    </w:rPr>
  </w:style>
  <w:style w:type="character" w:styleId="Style13" w:customStyle="1">
    <w:name w:val="Текст выноски Знак"/>
    <w:basedOn w:val="DefaultParagraphFont"/>
    <w:link w:val="a7"/>
    <w:uiPriority w:val="99"/>
    <w:semiHidden/>
    <w:qFormat/>
    <w:rsid w:val="0080449b"/>
    <w:rPr>
      <w:rFonts w:ascii="Tahoma" w:hAnsi="Tahoma" w:cs="Tahoma"/>
      <w:sz w:val="16"/>
      <w:szCs w:val="16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ucida 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ListParagraph">
    <w:name w:val="List Paragraph"/>
    <w:basedOn w:val="Normal"/>
    <w:uiPriority w:val="34"/>
    <w:qFormat/>
    <w:rsid w:val="003f6393"/>
    <w:pPr>
      <w:spacing w:before="0" w:after="200"/>
      <w:ind w:left="720" w:hanging="0"/>
      <w:contextualSpacing/>
    </w:pPr>
    <w:rPr/>
  </w:style>
  <w:style w:type="paragraph" w:styleId="S1" w:customStyle="1">
    <w:name w:val="s_1"/>
    <w:basedOn w:val="Normal"/>
    <w:qFormat/>
    <w:rsid w:val="003f639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HTMLTopofForm">
    <w:name w:val="HTML Top of Form"/>
    <w:basedOn w:val="Normal"/>
    <w:next w:val="Normal"/>
    <w:link w:val="z-0"/>
    <w:uiPriority w:val="99"/>
    <w:semiHidden/>
    <w:unhideWhenUsed/>
    <w:qFormat/>
    <w:rsid w:val="00457432"/>
    <w:pPr>
      <w:pBdr>
        <w:bottom w:val="single" w:sz="6" w:space="1" w:color="000000"/>
      </w:pBdr>
      <w:spacing w:lineRule="auto" w:line="240" w:before="0" w:after="0"/>
      <w:jc w:val="center"/>
    </w:pPr>
    <w:rPr>
      <w:rFonts w:ascii="Arial" w:hAnsi="Arial" w:eastAsia="Times New Roman" w:cs="Arial"/>
      <w:vanish/>
      <w:sz w:val="16"/>
      <w:szCs w:val="16"/>
      <w:lang w:eastAsia="ru-RU"/>
    </w:rPr>
  </w:style>
  <w:style w:type="paragraph" w:styleId="HTMLBottomofForm">
    <w:name w:val="HTML Bottom of Form"/>
    <w:basedOn w:val="Normal"/>
    <w:next w:val="Normal"/>
    <w:link w:val="z-2"/>
    <w:uiPriority w:val="99"/>
    <w:semiHidden/>
    <w:unhideWhenUsed/>
    <w:qFormat/>
    <w:rsid w:val="00457432"/>
    <w:pPr>
      <w:pBdr>
        <w:top w:val="single" w:sz="6" w:space="1" w:color="000000"/>
      </w:pBdr>
      <w:spacing w:lineRule="auto" w:line="240" w:before="0" w:after="0"/>
      <w:jc w:val="center"/>
    </w:pPr>
    <w:rPr>
      <w:rFonts w:ascii="Arial" w:hAnsi="Arial" w:eastAsia="Times New Roman" w:cs="Arial"/>
      <w:vanish/>
      <w:sz w:val="16"/>
      <w:szCs w:val="16"/>
      <w:lang w:eastAsia="ru-RU"/>
    </w:rPr>
  </w:style>
  <w:style w:type="paragraph" w:styleId="S9" w:customStyle="1">
    <w:name w:val="s_9"/>
    <w:basedOn w:val="Normal"/>
    <w:qFormat/>
    <w:rsid w:val="00736ef7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NormalWeb">
    <w:name w:val="Normal (Web)"/>
    <w:basedOn w:val="Normal"/>
    <w:uiPriority w:val="99"/>
    <w:semiHidden/>
    <w:unhideWhenUsed/>
    <w:qFormat/>
    <w:rsid w:val="00ad4d22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ConsPlusNormal1" w:customStyle="1">
    <w:name w:val="ConsPlusNormal"/>
    <w:link w:val="ConsPlusNormal"/>
    <w:qFormat/>
    <w:rsid w:val="00f07904"/>
    <w:pPr>
      <w:widowControl/>
      <w:suppressAutoHyphens w:val="true"/>
      <w:bidi w:val="0"/>
      <w:spacing w:lineRule="auto" w:line="240" w:before="0" w:after="0"/>
      <w:jc w:val="left"/>
    </w:pPr>
    <w:rPr>
      <w:rFonts w:ascii="Arial" w:hAnsi="Arial" w:eastAsia="Calibri" w:cs="Arial" w:eastAsiaTheme="minorHAnsi"/>
      <w:color w:val="auto"/>
      <w:kern w:val="0"/>
      <w:sz w:val="22"/>
      <w:szCs w:val="22"/>
      <w:lang w:val="ru-RU" w:eastAsia="en-US" w:bidi="ar-SA"/>
    </w:rPr>
  </w:style>
  <w:style w:type="paragraph" w:styleId="12" w:customStyle="1">
    <w:name w:val="Основной текст1"/>
    <w:basedOn w:val="Normal"/>
    <w:link w:val="a6"/>
    <w:qFormat/>
    <w:rsid w:val="00f07904"/>
    <w:pPr>
      <w:widowControl w:val="false"/>
      <w:spacing w:lineRule="auto" w:line="360" w:before="0" w:after="0"/>
      <w:ind w:firstLine="400"/>
    </w:pPr>
    <w:rPr>
      <w:rFonts w:ascii="Times New Roman" w:hAnsi="Times New Roman" w:eastAsia="Times New Roman" w:cs="Times New Roman"/>
    </w:rPr>
  </w:style>
  <w:style w:type="paragraph" w:styleId="BalloonText">
    <w:name w:val="Balloon Text"/>
    <w:basedOn w:val="Normal"/>
    <w:link w:val="a8"/>
    <w:uiPriority w:val="99"/>
    <w:semiHidden/>
    <w:unhideWhenUsed/>
    <w:qFormat/>
    <w:rsid w:val="0080449b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1EB412-7F3B-4694-8E55-AC7B619534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2398</TotalTime>
  <Application>LibreOffice/7.2.5.2$Windows_X86_64 LibreOffice_project/499f9727c189e6ef3471021d6132d4c694f357e5</Application>
  <AppVersion>15.0000</AppVersion>
  <Pages>5</Pages>
  <Words>1160</Words>
  <Characters>8341</Characters>
  <CharactersWithSpaces>9718</CharactersWithSpaces>
  <Paragraphs>56</Paragraphs>
  <Company>Computer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2023-07-02T08:17:00Z</dcterms:created>
  <dc:creator>User</dc:creator>
  <dc:description/>
  <dc:language>ru-RU</dc:language>
  <cp:lastModifiedBy/>
  <dcterms:modified xsi:type="dcterms:W3CDTF">2026-06-22T15:20:01Z</dcterms:modified>
  <cp:revision>1670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