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262683202476668290100102530012120244.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иммуноферментных исследований инфекций.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811 483.20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5"/>
        <w:gridCol w:w="4305"/>
        <w:gridCol w:w="3124"/>
      </w:tblGrid>
      <w:tr>
        <w:trPr>
          <w:tblHeader w:val="true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5"/>
        <w:gridCol w:w="1485"/>
        <w:gridCol w:w="2430"/>
        <w:gridCol w:w="1815"/>
        <w:gridCol w:w="1530"/>
        <w:gridCol w:w="1880"/>
      </w:tblGrid>
      <w:tr>
        <w:trPr>
          <w:trHeight w:val="843" w:hRule="atLeast"/>
        </w:trPr>
        <w:tc>
          <w:tcPr>
            <w:tcW w:w="1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11:35:30 (MSK+00:00)</w:t>
            </w:r>
          </w:p>
        </w:tc>
        <w:tc>
          <w:tcPr>
            <w:tcW w:w="24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811 483.20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11:18:38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11:24:41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11:30:56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11:55:47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378</Words>
  <Characters>2738</Characters>
  <CharactersWithSpaces>3055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2026-06-25T11:16:04Z</dcterms:modified>
  <cp:revision>6</cp:revision>
  <dc:subject/>
  <dc:title/>
</cp:coreProperties>
</file>