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jc w:val="center"/>
        <w:rPr>
          <w:rFonts w:ascii="Times New Roman" w:hAnsi="Times New Roman"/>
          <w:b/>
          <w:b/>
        </w:rPr>
      </w:pPr>
      <w:r>
        <w:rPr>
          <w:rFonts w:ascii="Times New Roman" w:hAnsi="Times New Roman"/>
          <w:b/>
          <w:bCs/>
        </w:rPr>
        <w:t xml:space="preserve">ПРОТОКОЛ № </w:t>
      </w:r>
      <w:r>
        <w:rPr>
          <w:rFonts w:ascii="Times New Roman" w:hAnsi="Times New Roman"/>
          <w:b/>
          <w:bCs/>
          <w:color w:val="000000"/>
        </w:rPr>
        <w:t>32414052066 (22218)</w:t>
      </w:r>
    </w:p>
    <w:p>
      <w:pPr>
        <w:pStyle w:val="Normal"/>
        <w:jc w:val="center"/>
        <w:rPr>
          <w:rFonts w:ascii="Times New Roman" w:hAnsi="Times New Roman"/>
          <w:b/>
          <w:b/>
          <w:highlight w:val="yellow"/>
        </w:rPr>
      </w:pPr>
      <w:r>
        <w:rPr>
          <w:rFonts w:ascii="Times New Roman" w:hAnsi="Times New Roman"/>
          <w:b/>
          <w:bCs/>
        </w:rPr>
        <w:t>заседания закупочной комиссии по рассмотрению заявок на отборочной стадии и подведению итогов запроса котировок в электронной форме на право заключения договора на выполнение ремонтных работ кровли зданий 40, 17а (пристрой) АО «НИКИРЭТ»</w:t>
      </w:r>
    </w:p>
    <w:p>
      <w:pPr>
        <w:pStyle w:val="Style23"/>
        <w:numPr>
          <w:ilvl w:val="0"/>
          <w:numId w:val="0"/>
        </w:numPr>
        <w:spacing w:before="0" w:after="0"/>
        <w:outlineLvl w:val="0"/>
        <w:rPr>
          <w:rFonts w:ascii="Times New Roman" w:hAnsi="Times New Roman"/>
          <w:b/>
          <w:b/>
          <w:bCs/>
        </w:rPr>
      </w:pPr>
      <w:r>
        <w:rPr>
          <w:rFonts w:ascii="Times New Roman" w:hAnsi="Times New Roman"/>
          <w:b/>
          <w:bCs/>
        </w:rPr>
      </w:r>
    </w:p>
    <w:tbl>
      <w:tblPr>
        <w:tblW w:w="10035" w:type="dxa"/>
        <w:jc w:val="left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5021"/>
        <w:gridCol w:w="5013"/>
      </w:tblGrid>
      <w:tr>
        <w:trPr/>
        <w:tc>
          <w:tcPr>
            <w:tcW w:w="5021" w:type="dxa"/>
            <w:tcBorders/>
          </w:tcPr>
          <w:p>
            <w:pPr>
              <w:pStyle w:val="Style23"/>
              <w:widowControl w:val="false"/>
              <w:spacing w:lineRule="auto" w:line="276" w:before="0" w:after="0"/>
              <w:jc w:val="left"/>
              <w:rPr>
                <w:rFonts w:ascii="Times New Roman" w:hAnsi="Times New Roman"/>
                <w:bCs/>
                <w:lang w:eastAsia="en-US"/>
              </w:rPr>
            </w:pPr>
            <w:r>
              <w:rPr>
                <w:rFonts w:ascii="Times New Roman" w:hAnsi="Times New Roman"/>
                <w:bCs/>
                <w:lang w:eastAsia="en-US"/>
              </w:rPr>
              <w:t xml:space="preserve">г. </w:t>
            </w:r>
            <w:r>
              <w:rPr>
                <w:rFonts w:ascii="Times New Roman" w:hAnsi="Times New Roman"/>
                <w:bCs/>
                <w:lang w:val="en-US" w:eastAsia="en-US"/>
              </w:rPr>
              <w:t>Заречный</w:t>
            </w:r>
          </w:p>
        </w:tc>
        <w:tc>
          <w:tcPr>
            <w:tcW w:w="5013" w:type="dxa"/>
            <w:tcBorders/>
          </w:tcPr>
          <w:p>
            <w:pPr>
              <w:pStyle w:val="Style23"/>
              <w:widowControl w:val="false"/>
              <w:spacing w:lineRule="auto" w:line="276" w:before="0" w:after="0"/>
              <w:jc w:val="right"/>
              <w:rPr>
                <w:rFonts w:ascii="Times New Roman" w:hAnsi="Times New Roman"/>
                <w:bCs/>
                <w:lang w:eastAsia="en-US"/>
              </w:rPr>
            </w:pPr>
            <w:r>
              <w:rPr>
                <w:rFonts w:ascii="Times New Roman" w:hAnsi="Times New Roman"/>
                <w:bCs/>
                <w:lang w:val="en-US" w:eastAsia="en-US"/>
              </w:rPr>
              <w:t>«</w:t>
            </w:r>
            <w:r>
              <w:rPr>
                <w:rFonts w:ascii="Times New Roman" w:hAnsi="Times New Roman"/>
                <w:bCs/>
                <w:lang w:eastAsia="en-US"/>
              </w:rPr>
              <w:t>14</w:t>
            </w:r>
            <w:r>
              <w:rPr>
                <w:rFonts w:ascii="Times New Roman" w:hAnsi="Times New Roman"/>
                <w:bCs/>
                <w:lang w:val="en-US" w:eastAsia="en-US"/>
              </w:rPr>
              <w:t xml:space="preserve">» </w:t>
            </w:r>
            <w:r>
              <w:rPr>
                <w:rFonts w:ascii="Times New Roman" w:hAnsi="Times New Roman"/>
                <w:bCs/>
                <w:lang w:eastAsia="en-US"/>
              </w:rPr>
              <w:t xml:space="preserve">октября </w:t>
            </w:r>
            <w:r>
              <w:rPr>
                <w:rFonts w:ascii="Times New Roman" w:hAnsi="Times New Roman"/>
                <w:bCs/>
                <w:lang w:val="en-US" w:eastAsia="en-US"/>
              </w:rPr>
              <w:t>20</w:t>
            </w:r>
            <w:r>
              <w:rPr>
                <w:rFonts w:ascii="Times New Roman" w:hAnsi="Times New Roman"/>
                <w:bCs/>
                <w:lang w:eastAsia="en-US"/>
              </w:rPr>
              <w:t>24г.</w:t>
            </w:r>
          </w:p>
        </w:tc>
      </w:tr>
    </w:tbl>
    <w:p>
      <w:pPr>
        <w:pStyle w:val="Normal"/>
        <w:tabs>
          <w:tab w:val="clear" w:pos="708"/>
          <w:tab w:val="left" w:pos="252" w:leader="none"/>
        </w:tabs>
        <w:rPr>
          <w:rFonts w:ascii="Times New Roman" w:hAnsi="Times New Roman"/>
        </w:rPr>
      </w:pPr>
      <w:r>
        <w:rPr>
          <w:rFonts w:ascii="Times New Roman" w:hAnsi="Times New Roman"/>
        </w:rPr>
        <w:t xml:space="preserve">Запрос котировок проводится в соответствии с Единым отраслевым стандартом закупок (Положением о закупке) Государственной корпорации по атомной энергии «Росатом», утвержденным решением наблюдательного совета Госкорпорации «Росатом» (протокол от 07.02.2012 № 37) (далее – ЕОСЗ), в редакции, указанной в </w:t>
      </w:r>
      <w:r>
        <w:rPr>
          <w:rFonts w:ascii="Times New Roman" w:hAnsi="Times New Roman"/>
          <w:lang w:eastAsia="ar-SA"/>
        </w:rPr>
        <w:t xml:space="preserve">документации по </w:t>
      </w:r>
      <w:r>
        <w:rPr>
          <w:rFonts w:ascii="Times New Roman" w:hAnsi="Times New Roman"/>
        </w:rPr>
        <w:t xml:space="preserve">запросу котировок, с использованием функционала ЭТП </w:t>
      </w:r>
      <w:r>
        <w:rPr>
          <w:rFonts w:ascii="Times New Roman" w:hAnsi="Times New Roman"/>
          <w:color w:val="000000"/>
        </w:rPr>
        <w:t>ЭТС (НЭП)</w:t>
      </w:r>
      <w:r>
        <w:rPr>
          <w:rFonts w:ascii="Times New Roman" w:hAnsi="Times New Roman"/>
        </w:rPr>
        <w:t>согласно регламенту ее работы.</w:t>
      </w:r>
    </w:p>
    <w:p>
      <w:pPr>
        <w:pStyle w:val="Normal"/>
        <w:numPr>
          <w:ilvl w:val="0"/>
          <w:numId w:val="0"/>
        </w:numPr>
        <w:tabs>
          <w:tab w:val="clear" w:pos="708"/>
          <w:tab w:val="left" w:pos="252" w:leader="none"/>
        </w:tabs>
        <w:spacing w:before="240" w:after="120"/>
        <w:outlineLvl w:val="0"/>
        <w:rPr>
          <w:rFonts w:ascii="Times New Roman" w:hAnsi="Times New Roman"/>
          <w:b/>
          <w:b/>
          <w:bCs/>
        </w:rPr>
      </w:pPr>
      <w:r>
        <w:rPr>
          <w:rFonts w:ascii="Times New Roman" w:hAnsi="Times New Roman"/>
          <w:b/>
          <w:bCs/>
        </w:rPr>
        <w:t>Информация о закупке:</w:t>
      </w:r>
    </w:p>
    <w:p>
      <w:pPr>
        <w:pStyle w:val="Normal"/>
        <w:numPr>
          <w:ilvl w:val="0"/>
          <w:numId w:val="0"/>
        </w:numPr>
        <w:tabs>
          <w:tab w:val="clear" w:pos="708"/>
          <w:tab w:val="left" w:pos="252" w:leader="none"/>
        </w:tabs>
        <w:spacing w:before="240" w:after="0"/>
        <w:outlineLvl w:val="0"/>
        <w:rPr>
          <w:rFonts w:ascii="Times New Roman" w:hAnsi="Times New Roman"/>
        </w:rPr>
      </w:pPr>
      <w:r>
        <w:rPr>
          <w:rFonts w:ascii="Times New Roman" w:hAnsi="Times New Roman"/>
        </w:rPr>
        <w:t>Заказчик, являющийся Организатором закупки:</w:t>
      </w:r>
      <w:r>
        <w:rPr>
          <w:rFonts w:ascii="Times New Roman" w:hAnsi="Times New Roman"/>
          <w:bCs/>
        </w:rPr>
        <w:t xml:space="preserve"> АО «НИКИРЭТ».</w:t>
      </w:r>
    </w:p>
    <w:p>
      <w:pPr>
        <w:pStyle w:val="Normal"/>
        <w:tabs>
          <w:tab w:val="clear" w:pos="708"/>
          <w:tab w:val="left" w:pos="252" w:leader="none"/>
        </w:tabs>
        <w:spacing w:before="240" w:after="0"/>
        <w:rPr>
          <w:rFonts w:ascii="Times New Roman" w:hAnsi="Times New Roman"/>
        </w:rPr>
      </w:pPr>
      <w:r>
        <w:rPr>
          <w:rFonts w:ascii="Times New Roman" w:hAnsi="Times New Roman"/>
        </w:rPr>
        <w:t xml:space="preserve">Наименование </w:t>
      </w:r>
      <w:r>
        <w:rPr>
          <w:rFonts w:ascii="Times New Roman" w:hAnsi="Times New Roman"/>
          <w:lang w:eastAsia="ar-SA"/>
        </w:rPr>
        <w:t>запроса котировок</w:t>
      </w:r>
      <w:r>
        <w:rPr>
          <w:rFonts w:ascii="Times New Roman" w:hAnsi="Times New Roman"/>
        </w:rPr>
        <w:t xml:space="preserve">: открытый запрос </w:t>
      </w:r>
      <w:r>
        <w:rPr>
          <w:rFonts w:ascii="Times New Roman" w:hAnsi="Times New Roman"/>
          <w:lang w:eastAsia="ar-SA"/>
        </w:rPr>
        <w:t>котировок</w:t>
      </w:r>
      <w:r>
        <w:rPr>
          <w:rFonts w:ascii="Times New Roman" w:hAnsi="Times New Roman"/>
        </w:rPr>
        <w:t xml:space="preserve"> в электронной форме </w:t>
      </w:r>
      <w:r>
        <w:rPr>
          <w:rFonts w:ascii="Times New Roman" w:hAnsi="Times New Roman"/>
          <w:bCs/>
        </w:rPr>
        <w:t>на право заключения договора на выполнение ремонтных работ кровли зданий 40, 17а (пристрой) АО «НИКИРЭТ».</w:t>
      </w:r>
    </w:p>
    <w:p>
      <w:pPr>
        <w:pStyle w:val="Normal"/>
        <w:keepLines w:val="false"/>
        <w:spacing w:before="240" w:after="0"/>
        <w:rPr>
          <w:rFonts w:ascii="Times New Roman" w:hAnsi="Times New Roman" w:eastAsia="Calibri"/>
        </w:rPr>
      </w:pPr>
      <w:r>
        <w:rPr>
          <w:rFonts w:eastAsia="Calibri" w:ascii="Times New Roman" w:hAnsi="Times New Roman" w:eastAsiaTheme="minorHAnsi"/>
        </w:rPr>
        <w:t>Предмет договора: выполнение ремонтных работ кровли зданий 40, 17а (пристрой) АО «НИКИРЭТ».</w:t>
      </w:r>
    </w:p>
    <w:p>
      <w:pPr>
        <w:pStyle w:val="Normal"/>
        <w:keepLines w:val="false"/>
        <w:rPr>
          <w:rFonts w:ascii="Times New Roman" w:hAnsi="Times New Roman" w:eastAsia="Calibri"/>
        </w:rPr>
      </w:pPr>
      <w:r>
        <w:rPr>
          <w:rFonts w:eastAsia="Calibri" w:eastAsiaTheme="minorHAnsi" w:ascii="Times New Roman" w:hAnsi="Times New Roman"/>
        </w:rPr>
      </w:r>
    </w:p>
    <w:p>
      <w:pPr>
        <w:pStyle w:val="Normal"/>
        <w:keepLines w:val="false"/>
        <w:rPr>
          <w:rFonts w:ascii="Times New Roman" w:hAnsi="Times New Roman" w:eastAsia="Calibri"/>
        </w:rPr>
      </w:pPr>
      <w:r>
        <w:rPr>
          <w:rFonts w:eastAsia="Calibri" w:ascii="Times New Roman" w:hAnsi="Times New Roman" w:eastAsiaTheme="minorHAnsi"/>
        </w:rPr>
        <w:t>Срок выполнения работ: не позднее 30 рабочих дней с даты заключения договора.</w:t>
      </w:r>
    </w:p>
    <w:p>
      <w:pPr>
        <w:pStyle w:val="Normal"/>
        <w:keepLines w:val="false"/>
        <w:rPr>
          <w:rFonts w:ascii="Times New Roman" w:hAnsi="Times New Roman" w:eastAsia="Calibri"/>
          <w:highlight w:val="yellow"/>
        </w:rPr>
      </w:pPr>
      <w:r>
        <w:rPr>
          <w:rFonts w:eastAsia="Calibri" w:ascii="Times New Roman" w:hAnsi="Times New Roman" w:eastAsiaTheme="minorHAnsi"/>
        </w:rPr>
        <w:t>Место выполнения работ: Пензенская обл., г. Заречный, проспект Мира, стр. 1, корпус 1, НИКИРЭТ.</w:t>
      </w:r>
    </w:p>
    <w:p>
      <w:pPr>
        <w:pStyle w:val="Normal"/>
        <w:keepLines w:val="false"/>
        <w:rPr>
          <w:rFonts w:ascii="Times New Roman" w:hAnsi="Times New Roman" w:eastAsia="Calibri"/>
          <w:highlight w:val="yellow"/>
        </w:rPr>
      </w:pPr>
      <w:r>
        <w:rPr>
          <w:rFonts w:eastAsia="Calibri" w:ascii="Times New Roman" w:hAnsi="Times New Roman" w:eastAsiaTheme="minorHAnsi"/>
        </w:rPr>
        <w:t>Условия оплаты: в соответствии с проектом договора (Часть 3 «Проект договора» Тома 1 закупочной документации).</w:t>
      </w:r>
    </w:p>
    <w:p>
      <w:pPr>
        <w:pStyle w:val="Normal"/>
        <w:keepLines w:val="false"/>
        <w:rPr>
          <w:rFonts w:ascii="Times New Roman" w:hAnsi="Times New Roman" w:eastAsia="Calibri"/>
        </w:rPr>
      </w:pPr>
      <w:r>
        <w:rPr>
          <w:rFonts w:eastAsia="Calibri" w:ascii="Times New Roman" w:hAnsi="Times New Roman" w:eastAsiaTheme="minorHAnsi"/>
        </w:rPr>
        <w:t>Начальная (максимальная) цена договора: 480 874,86 руб. (Четыреста восемьдесят тысяч восемьсот семьдесят четыре рубля 86 копеек), включая НДС.</w:t>
      </w:r>
    </w:p>
    <w:p>
      <w:pPr>
        <w:pStyle w:val="Normal"/>
        <w:keepLines w:val="false"/>
        <w:rPr>
          <w:rFonts w:ascii="Times New Roman" w:hAnsi="Times New Roman" w:eastAsia="Calibri"/>
        </w:rPr>
      </w:pPr>
      <w:r>
        <w:rPr>
          <w:rFonts w:eastAsia="Calibri" w:ascii="Times New Roman" w:hAnsi="Times New Roman" w:eastAsiaTheme="minorHAnsi"/>
        </w:rPr>
        <w:t>Цена договора включает в себя все расходы Поставщика, связанные с исполнением договора, указанные в проекте договора (Часть 3 «Проект договора» Тома 1 закупочной документации).</w:t>
      </w:r>
    </w:p>
    <w:p>
      <w:pPr>
        <w:pStyle w:val="Normal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rPr>
          <w:rFonts w:ascii="Times New Roman" w:hAnsi="Times New Roman"/>
        </w:rPr>
      </w:pPr>
      <w:r>
        <w:rPr>
          <w:rFonts w:ascii="Times New Roman" w:hAnsi="Times New Roman"/>
        </w:rPr>
        <w:t>Извещение о проведении закупки (закупочная документация) опубликовано «03» октября 2024 года на официальном государственном сайте http://www.zakupki.gov.ru/, закупка № 32414052066, на официальном сайте по закупкам атомной отрасли http://zakupki.rosatom.ru/, закупка № 22218, на ЭТП ЭТС (НЭП), закупка № 32414052066.</w:t>
      </w:r>
    </w:p>
    <w:p>
      <w:pPr>
        <w:pStyle w:val="311"/>
        <w:ind w:hanging="0"/>
        <w:rPr>
          <w:b w:val="false"/>
          <w:b w:val="false"/>
          <w:bCs w:val="false"/>
          <w:sz w:val="24"/>
          <w:szCs w:val="24"/>
        </w:rPr>
      </w:pPr>
      <w:r>
        <w:rPr>
          <w:b w:val="false"/>
          <w:bCs w:val="false"/>
          <w:sz w:val="24"/>
          <w:szCs w:val="24"/>
        </w:rPr>
      </w:r>
    </w:p>
    <w:p>
      <w:pPr>
        <w:pStyle w:val="311"/>
        <w:ind w:hanging="0"/>
        <w:rPr>
          <w:b w:val="false"/>
          <w:b w:val="false"/>
          <w:bCs w:val="false"/>
          <w:sz w:val="24"/>
          <w:szCs w:val="24"/>
        </w:rPr>
      </w:pPr>
      <w:r>
        <w:rPr>
          <w:b w:val="false"/>
          <w:bCs w:val="false"/>
          <w:sz w:val="24"/>
          <w:szCs w:val="24"/>
        </w:rPr>
        <w:t xml:space="preserve">Заседание закупочной комиссии проводится в </w:t>
      </w:r>
      <w:r>
        <w:rPr>
          <w:b w:val="false"/>
          <w:bCs w:val="false"/>
          <w:sz w:val="24"/>
          <w:szCs w:val="24"/>
          <w:shd w:fill="auto" w:val="clear"/>
        </w:rPr>
        <w:t>11:00 (врем</w:t>
      </w:r>
      <w:r>
        <w:rPr>
          <w:b w:val="false"/>
          <w:bCs w:val="false"/>
          <w:sz w:val="24"/>
          <w:szCs w:val="24"/>
        </w:rPr>
        <w:t>я московское) «14» октября 2024 года, по адресу: Пензенская область, г.</w:t>
      </w:r>
      <w:r>
        <w:rPr>
          <w:b w:val="false"/>
          <w:bCs w:val="false"/>
          <w:sz w:val="24"/>
          <w:szCs w:val="24"/>
          <w:lang w:val="en-US"/>
        </w:rPr>
        <w:t> </w:t>
      </w:r>
      <w:r>
        <w:rPr>
          <w:b w:val="false"/>
          <w:bCs w:val="false"/>
          <w:sz w:val="24"/>
          <w:szCs w:val="24"/>
        </w:rPr>
        <w:t>Заречный, Проспект Мира, д.1, корп. 1.</w:t>
      </w:r>
    </w:p>
    <w:p>
      <w:pPr>
        <w:pStyle w:val="Normal"/>
        <w:spacing w:before="240" w:after="120"/>
        <w:rPr>
          <w:rFonts w:ascii="Times New Roman" w:hAnsi="Times New Roman"/>
          <w:b/>
          <w:b/>
          <w:bCs/>
        </w:rPr>
      </w:pPr>
      <w:r>
        <w:rPr>
          <w:rFonts w:ascii="Times New Roman" w:hAnsi="Times New Roman"/>
          <w:b/>
          <w:bCs/>
        </w:rPr>
        <w:t xml:space="preserve">На заседании присутствуют: </w:t>
      </w:r>
    </w:p>
    <w:tbl>
      <w:tblPr>
        <w:tblW w:w="4900" w:type="pct"/>
        <w:jc w:val="center"/>
        <w:tblInd w:w="0" w:type="dxa"/>
        <w:tblLayout w:type="fixed"/>
        <w:tblCellMar>
          <w:top w:w="0" w:type="dxa"/>
          <w:left w:w="22" w:type="dxa"/>
          <w:bottom w:w="0" w:type="dxa"/>
          <w:right w:w="22" w:type="dxa"/>
        </w:tblCellMar>
        <w:tblLook w:firstRow="1" w:noVBand="1" w:lastRow="0" w:firstColumn="1" w:lastColumn="0" w:noHBand="0" w:val="04a0"/>
      </w:tblPr>
      <w:tblGrid>
        <w:gridCol w:w="2391"/>
        <w:gridCol w:w="7442"/>
      </w:tblGrid>
      <w:tr>
        <w:trPr>
          <w:trHeight w:val="316" w:hRule="atLeast"/>
        </w:trPr>
        <w:tc>
          <w:tcPr>
            <w:tcW w:w="2391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b/>
                <w:b/>
                <w:bCs/>
                <w:lang w:eastAsia="en-US"/>
              </w:rPr>
            </w:pPr>
            <w:r>
              <w:rPr>
                <w:rFonts w:ascii="Times New Roman" w:hAnsi="Times New Roman"/>
                <w:b/>
                <w:bCs/>
                <w:lang w:eastAsia="en-US"/>
              </w:rPr>
              <w:t xml:space="preserve">ФИО </w:t>
            </w:r>
          </w:p>
        </w:tc>
        <w:tc>
          <w:tcPr>
            <w:tcW w:w="744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b/>
                <w:b/>
                <w:bCs/>
                <w:lang w:eastAsia="en-US"/>
              </w:rPr>
            </w:pPr>
            <w:r>
              <w:rPr>
                <w:rFonts w:ascii="Times New Roman" w:hAnsi="Times New Roman"/>
                <w:b/>
                <w:bCs/>
                <w:lang w:eastAsia="en-US"/>
              </w:rPr>
              <w:t xml:space="preserve">Должность </w:t>
            </w:r>
          </w:p>
        </w:tc>
      </w:tr>
      <w:tr>
        <w:trPr>
          <w:trHeight w:val="316" w:hRule="atLeast"/>
        </w:trPr>
        <w:tc>
          <w:tcPr>
            <w:tcW w:w="9833" w:type="dxa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jc w:val="left"/>
              <w:rPr>
                <w:rFonts w:ascii="Times New Roman" w:hAnsi="Times New Roman"/>
                <w:b/>
                <w:b/>
                <w:bCs/>
                <w:lang w:eastAsia="en-US"/>
              </w:rPr>
            </w:pPr>
            <w:r>
              <w:rPr>
                <w:rFonts w:ascii="Times New Roman" w:hAnsi="Times New Roman"/>
                <w:b/>
                <w:bCs/>
                <w:lang w:eastAsia="en-US"/>
              </w:rPr>
              <w:t>Председатель закупочной комиссии:</w:t>
            </w:r>
          </w:p>
        </w:tc>
      </w:tr>
      <w:tr>
        <w:trPr>
          <w:trHeight w:val="316" w:hRule="atLeast"/>
        </w:trPr>
        <w:tc>
          <w:tcPr>
            <w:tcW w:w="2391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Серегин С.С.</w:t>
            </w:r>
          </w:p>
        </w:tc>
        <w:tc>
          <w:tcPr>
            <w:tcW w:w="744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jc w:val="left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Заместитель генерального директора по организации закупочной деятельности</w:t>
            </w:r>
          </w:p>
        </w:tc>
      </w:tr>
      <w:tr>
        <w:trPr>
          <w:trHeight w:val="329" w:hRule="atLeast"/>
        </w:trPr>
        <w:tc>
          <w:tcPr>
            <w:tcW w:w="9833" w:type="dxa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rPr>
                <w:rFonts w:ascii="Times New Roman" w:hAnsi="Times New Roman"/>
                <w:b/>
                <w:b/>
                <w:bCs/>
                <w:lang w:eastAsia="en-US"/>
              </w:rPr>
            </w:pPr>
            <w:r>
              <w:rPr>
                <w:rFonts w:ascii="Times New Roman" w:hAnsi="Times New Roman"/>
                <w:b/>
                <w:bCs/>
                <w:lang w:eastAsia="en-US"/>
              </w:rPr>
              <w:t xml:space="preserve">Члены закупочной комиссии: </w:t>
            </w:r>
          </w:p>
        </w:tc>
      </w:tr>
      <w:tr>
        <w:trPr>
          <w:trHeight w:val="329" w:hRule="atLeast"/>
        </w:trPr>
        <w:tc>
          <w:tcPr>
            <w:tcW w:w="2391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Ожегов В.А. </w:t>
            </w:r>
          </w:p>
        </w:tc>
        <w:tc>
          <w:tcPr>
            <w:tcW w:w="744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Заместитель генерального директора по безопасности</w:t>
            </w:r>
          </w:p>
        </w:tc>
      </w:tr>
      <w:tr>
        <w:trPr>
          <w:trHeight w:val="397" w:hRule="atLeast"/>
        </w:trPr>
        <w:tc>
          <w:tcPr>
            <w:tcW w:w="2391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Акимушкина Т.В.</w:t>
            </w:r>
          </w:p>
        </w:tc>
        <w:tc>
          <w:tcPr>
            <w:tcW w:w="744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Заместитель генерального директора по экономике и финансам</w:t>
            </w:r>
          </w:p>
        </w:tc>
      </w:tr>
      <w:tr>
        <w:trPr>
          <w:trHeight w:val="329" w:hRule="atLeast"/>
        </w:trPr>
        <w:tc>
          <w:tcPr>
            <w:tcW w:w="2391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Селиверстов С.С. </w:t>
            </w:r>
          </w:p>
        </w:tc>
        <w:tc>
          <w:tcPr>
            <w:tcW w:w="744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color w:val="000000"/>
              </w:rPr>
              <w:t>Начальник управления по правовой и корпоративной работе и имущественному комплексу</w:t>
            </w:r>
          </w:p>
        </w:tc>
      </w:tr>
      <w:tr>
        <w:trPr>
          <w:trHeight w:val="329" w:hRule="atLeast"/>
        </w:trPr>
        <w:tc>
          <w:tcPr>
            <w:tcW w:w="2391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rPr>
                <w:rFonts w:ascii="Times New Roman" w:hAnsi="Times New Roman" w:eastAsia="Calibri"/>
              </w:rPr>
            </w:pPr>
            <w:r>
              <w:rPr>
                <w:rFonts w:eastAsia="Calibri" w:ascii="Times New Roman" w:hAnsi="Times New Roman"/>
              </w:rPr>
              <w:t xml:space="preserve">Никишин А.Ю. </w:t>
            </w:r>
          </w:p>
        </w:tc>
        <w:tc>
          <w:tcPr>
            <w:tcW w:w="744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rPr>
                <w:rFonts w:ascii="Times New Roman" w:hAnsi="Times New Roman" w:eastAsia="Calibri"/>
              </w:rPr>
            </w:pPr>
            <w:r>
              <w:rPr>
                <w:rFonts w:eastAsia="Calibri" w:ascii="Times New Roman" w:hAnsi="Times New Roman"/>
              </w:rPr>
              <w:t>Ведущий специалист защиты активов</w:t>
            </w:r>
          </w:p>
        </w:tc>
      </w:tr>
      <w:tr>
        <w:trPr>
          <w:trHeight w:val="329" w:hRule="atLeast"/>
        </w:trPr>
        <w:tc>
          <w:tcPr>
            <w:tcW w:w="2391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Горшунова С.А. </w:t>
            </w:r>
          </w:p>
        </w:tc>
        <w:tc>
          <w:tcPr>
            <w:tcW w:w="744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Ведущий экономист</w:t>
            </w:r>
          </w:p>
        </w:tc>
      </w:tr>
      <w:tr>
        <w:trPr>
          <w:trHeight w:val="329" w:hRule="atLeast"/>
        </w:trPr>
        <w:tc>
          <w:tcPr>
            <w:tcW w:w="2391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rPr>
                <w:rFonts w:ascii="Times New Roman" w:hAnsi="Times New Roman" w:eastAsia="Calibri"/>
                <w:lang w:eastAsia="en-US"/>
              </w:rPr>
            </w:pPr>
            <w:r>
              <w:rPr>
                <w:rFonts w:eastAsia="Calibri" w:ascii="Times New Roman" w:hAnsi="Times New Roman"/>
                <w:lang w:eastAsia="en-US"/>
              </w:rPr>
              <w:t>Чемулов А.Г.</w:t>
            </w:r>
          </w:p>
        </w:tc>
        <w:tc>
          <w:tcPr>
            <w:tcW w:w="744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jc w:val="left"/>
              <w:rPr>
                <w:rFonts w:ascii="Times New Roman" w:hAnsi="Times New Roman" w:eastAsia="Calibri"/>
                <w:lang w:eastAsia="en-US"/>
              </w:rPr>
            </w:pPr>
            <w:r>
              <w:rPr>
                <w:rFonts w:eastAsia="Calibri" w:ascii="Times New Roman" w:hAnsi="Times New Roman"/>
                <w:lang w:eastAsia="en-US"/>
              </w:rPr>
              <w:t>Ведущий специалист группы конкурсных закупок</w:t>
            </w:r>
          </w:p>
        </w:tc>
      </w:tr>
      <w:tr>
        <w:trPr>
          <w:trHeight w:val="329" w:hRule="atLeast"/>
        </w:trPr>
        <w:tc>
          <w:tcPr>
            <w:tcW w:w="9833" w:type="dxa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rPr>
                <w:rFonts w:ascii="Times New Roman" w:hAnsi="Times New Roman"/>
                <w:b/>
                <w:b/>
                <w:bCs/>
                <w:lang w:eastAsia="en-US"/>
              </w:rPr>
            </w:pPr>
            <w:r>
              <w:rPr>
                <w:rFonts w:ascii="Times New Roman" w:hAnsi="Times New Roman"/>
                <w:b/>
                <w:bCs/>
                <w:lang w:eastAsia="en-US"/>
              </w:rPr>
              <w:t xml:space="preserve">Секретарь закупочной комиссии (без права голоса) </w:t>
            </w:r>
          </w:p>
        </w:tc>
      </w:tr>
      <w:tr>
        <w:trPr>
          <w:trHeight w:val="210" w:hRule="atLeast"/>
        </w:trPr>
        <w:tc>
          <w:tcPr>
            <w:tcW w:w="2391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spacing w:before="60" w:after="60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Попадьева М.М.</w:t>
            </w:r>
          </w:p>
        </w:tc>
        <w:tc>
          <w:tcPr>
            <w:tcW w:w="744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spacing w:before="60" w:after="60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Инженер 1 категории группы конкурсных закупок</w:t>
            </w:r>
          </w:p>
        </w:tc>
      </w:tr>
    </w:tbl>
    <w:p>
      <w:pPr>
        <w:pStyle w:val="Normal"/>
        <w:spacing w:before="120" w:after="120"/>
        <w:rPr>
          <w:rFonts w:ascii="Times New Roman" w:hAnsi="Times New Roman"/>
        </w:rPr>
      </w:pPr>
      <w:r>
        <w:rPr>
          <w:rFonts w:ascii="Times New Roman" w:hAnsi="Times New Roman"/>
        </w:rPr>
        <w:t>Заседание проводится в присутствии 7 из 8 членов закупочной комиссии. Кворум имеется.</w:t>
      </w:r>
    </w:p>
    <w:p>
      <w:pPr>
        <w:pStyle w:val="ListParagraph"/>
        <w:keepLines/>
        <w:numPr>
          <w:ilvl w:val="0"/>
          <w:numId w:val="5"/>
        </w:numPr>
        <w:tabs>
          <w:tab w:val="clear" w:pos="708"/>
          <w:tab w:val="left" w:pos="284" w:leader="none"/>
        </w:tabs>
        <w:spacing w:before="0" w:after="0"/>
        <w:ind w:left="0" w:firstLine="142"/>
        <w:contextualSpacing/>
        <w:jc w:val="both"/>
        <w:outlineLvl w:val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Согласно протоколу открытия доступа к заявкам на участие в запросе котировок от «10» октября 2024 года № </w:t>
      </w:r>
      <w:r>
        <w:rPr>
          <w:rFonts w:ascii="Times New Roman" w:hAnsi="Times New Roman"/>
          <w:b/>
          <w:bCs/>
          <w:color w:val="000000"/>
          <w:sz w:val="24"/>
          <w:szCs w:val="24"/>
        </w:rPr>
        <w:t xml:space="preserve">32414052066 (22218) </w:t>
      </w:r>
      <w:r>
        <w:rPr>
          <w:rFonts w:ascii="Times New Roman" w:hAnsi="Times New Roman"/>
          <w:sz w:val="24"/>
          <w:szCs w:val="24"/>
        </w:rPr>
        <w:t xml:space="preserve">была подана 1 (одна) заявка на участие в запросе котировок следующим участником запроса котировок: </w:t>
      </w:r>
    </w:p>
    <w:tbl>
      <w:tblPr>
        <w:tblW w:w="5000" w:type="pct"/>
        <w:jc w:val="left"/>
        <w:tblInd w:w="-1" w:type="dxa"/>
        <w:tblLayout w:type="fixed"/>
        <w:tblCellMar>
          <w:top w:w="75" w:type="dxa"/>
          <w:left w:w="75" w:type="dxa"/>
          <w:bottom w:w="75" w:type="dxa"/>
          <w:right w:w="75" w:type="dxa"/>
        </w:tblCellMar>
        <w:tblLook w:firstRow="1" w:noVBand="1" w:lastRow="0" w:firstColumn="1" w:lastColumn="0" w:noHBand="0" w:val="04a0"/>
      </w:tblPr>
      <w:tblGrid>
        <w:gridCol w:w="1278"/>
        <w:gridCol w:w="4116"/>
        <w:gridCol w:w="4641"/>
      </w:tblGrid>
      <w:tr>
        <w:trPr>
          <w:trHeight w:val="1142" w:hRule="atLeast"/>
        </w:trPr>
        <w:tc>
          <w:tcPr>
            <w:tcW w:w="1278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jc w:val="center"/>
              <w:rPr>
                <w:rFonts w:ascii="Times New Roman" w:hAnsi="Times New Roman" w:eastAsia="Calibri"/>
                <w:b/>
                <w:b/>
                <w:bCs/>
              </w:rPr>
            </w:pPr>
            <w:r>
              <w:rPr>
                <w:rFonts w:eastAsia="Calibri" w:ascii="Times New Roman" w:hAnsi="Times New Roman" w:eastAsiaTheme="minorHAnsi"/>
                <w:b/>
                <w:bCs/>
              </w:rPr>
              <w:t>Рег. № заявки на ЭТП ЭТС (НЭП)</w:t>
            </w:r>
          </w:p>
        </w:tc>
        <w:tc>
          <w:tcPr>
            <w:tcW w:w="411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jc w:val="center"/>
              <w:rPr>
                <w:rFonts w:ascii="Times New Roman" w:hAnsi="Times New Roman" w:eastAsia="Calibri"/>
                <w:b/>
                <w:b/>
                <w:bCs/>
              </w:rPr>
            </w:pPr>
            <w:r>
              <w:rPr>
                <w:rFonts w:eastAsia="Calibri" w:ascii="Times New Roman" w:hAnsi="Times New Roman" w:eastAsiaTheme="minorHAnsi"/>
                <w:b/>
                <w:bCs/>
              </w:rPr>
              <w:t xml:space="preserve">Участник закупки </w:t>
            </w:r>
          </w:p>
        </w:tc>
        <w:tc>
          <w:tcPr>
            <w:tcW w:w="4641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jc w:val="center"/>
              <w:rPr>
                <w:rFonts w:ascii="Times New Roman" w:hAnsi="Times New Roman" w:eastAsia="Calibri"/>
                <w:b/>
                <w:b/>
                <w:bCs/>
              </w:rPr>
            </w:pPr>
            <w:r>
              <w:rPr>
                <w:rFonts w:eastAsia="Calibri" w:ascii="Times New Roman" w:hAnsi="Times New Roman" w:eastAsiaTheme="minorHAnsi"/>
                <w:b/>
                <w:bCs/>
              </w:rPr>
              <w:t xml:space="preserve">Ценовое предложение, сделанное участником закупки </w:t>
            </w:r>
          </w:p>
        </w:tc>
      </w:tr>
      <w:tr>
        <w:trPr>
          <w:trHeight w:val="2401" w:hRule="atLeast"/>
        </w:trPr>
        <w:tc>
          <w:tcPr>
            <w:tcW w:w="1278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jc w:val="center"/>
              <w:rPr>
                <w:rFonts w:ascii="Times New Roman" w:hAnsi="Times New Roman"/>
                <w:highlight w:val="yellow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411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ОБЩЕСТВО С ОГРАНИЧЕННОЙ ОТВЕТСТВЕННОСТЬЮ "ЦЕХ 55"</w:t>
            </w:r>
          </w:p>
          <w:p>
            <w:pPr>
              <w:pStyle w:val="Normal"/>
              <w:keepLines w:val="false"/>
              <w:widowControl w:val="false"/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 </w:t>
            </w:r>
            <w:r>
              <w:rPr>
                <w:rFonts w:ascii="Times New Roman" w:hAnsi="Times New Roman"/>
              </w:rPr>
              <w:t>ИНН: 5838013783</w:t>
            </w:r>
          </w:p>
          <w:p>
            <w:pPr>
              <w:pStyle w:val="Normal"/>
              <w:keepLines w:val="false"/>
              <w:widowControl w:val="false"/>
              <w:jc w:val="left"/>
              <w:rPr>
                <w:rFonts w:ascii="Times New Roman" w:hAnsi="Times New Roman"/>
                <w:highlight w:val="yellow"/>
              </w:rPr>
            </w:pPr>
            <w:r>
              <w:rPr>
                <w:rFonts w:ascii="Times New Roman" w:hAnsi="Times New Roman"/>
              </w:rPr>
              <w:t>Адрес: 442960, ПЕНЗЕНСКАЯ ОБЛАСТЬ, г.о. ЗАТО ГОРОД ЗАРЕЧНЫЙ, Г ЗАРЕЧНЫЙ, ПР-КТ МИРА, Д. 1, ЗДАНИЕ 50.</w:t>
            </w:r>
          </w:p>
        </w:tc>
        <w:tc>
          <w:tcPr>
            <w:tcW w:w="4641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rPr>
                <w:rFonts w:ascii="Times New Roman" w:hAnsi="Times New Roman"/>
              </w:rPr>
            </w:pPr>
            <w:r>
              <w:rPr>
                <w:rFonts w:eastAsia="Calibri" w:ascii="Times New Roman" w:hAnsi="Times New Roman"/>
              </w:rPr>
              <w:t xml:space="preserve">Предмет закупки: </w:t>
            </w:r>
            <w:r>
              <w:rPr>
                <w:rFonts w:ascii="Times New Roman" w:hAnsi="Times New Roman"/>
                <w:spacing w:val="-6"/>
              </w:rPr>
              <w:t>выполнение ремонтных работ кровли зданий 40, 17а (пристрой) АО «НИКИРЭТ».</w:t>
            </w:r>
          </w:p>
          <w:p>
            <w:pPr>
              <w:pStyle w:val="Normal"/>
              <w:widowControl w:val="false"/>
              <w:rPr>
                <w:rFonts w:ascii="Times New Roman" w:hAnsi="Times New Roman" w:eastAsia="Calibri"/>
              </w:rPr>
            </w:pPr>
            <w:r>
              <w:rPr>
                <w:rFonts w:eastAsia="Calibri" w:ascii="Times New Roman" w:hAnsi="Times New Roman"/>
              </w:rPr>
              <w:t>Цена заявки: 457 870,00 руб. (Четыреста пятьдесят семь тысяч восемьсот семьдесят рублей) с учетом НДС.</w:t>
            </w:r>
          </w:p>
          <w:p>
            <w:pPr>
              <w:pStyle w:val="Normal"/>
              <w:keepLines w:val="false"/>
              <w:widowControl w:val="false"/>
              <w:rPr>
                <w:rFonts w:ascii="Times New Roman" w:hAnsi="Times New Roman" w:eastAsia="Calibri"/>
                <w:highlight w:val="yellow"/>
              </w:rPr>
            </w:pPr>
            <w:r>
              <w:rPr>
                <w:rFonts w:eastAsia="Calibri" w:ascii="Times New Roman" w:hAnsi="Times New Roman"/>
              </w:rPr>
              <w:t xml:space="preserve">Дата и время регистрации заявки: </w:t>
            </w:r>
            <w:r>
              <w:rPr>
                <w:rFonts w:ascii="Times New Roman" w:hAnsi="Times New Roman"/>
              </w:rPr>
              <w:t xml:space="preserve">08.10.2024 14:59:25 </w:t>
            </w:r>
            <w:r>
              <w:rPr>
                <w:rFonts w:eastAsia="Calibri" w:ascii="Times New Roman" w:hAnsi="Times New Roman"/>
              </w:rPr>
              <w:t>(время московское).</w:t>
            </w:r>
          </w:p>
        </w:tc>
      </w:tr>
    </w:tbl>
    <w:p>
      <w:pPr>
        <w:pStyle w:val="ListParagraph"/>
        <w:keepLines/>
        <w:numPr>
          <w:ilvl w:val="0"/>
          <w:numId w:val="0"/>
        </w:numPr>
        <w:tabs>
          <w:tab w:val="clear" w:pos="708"/>
          <w:tab w:val="left" w:pos="284" w:leader="none"/>
        </w:tabs>
        <w:spacing w:before="0" w:after="0"/>
        <w:ind w:left="0" w:hanging="0"/>
        <w:contextualSpacing/>
        <w:jc w:val="both"/>
        <w:outlineLvl w:val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В связи с тем, что после окончания срока подачи заявок на участие в запросе котировок поступила только одна заявка, в соответствии с подпунктом а) пункта 1.1 части 1 статьи 6.4 ЕОСЗ запрос котировок признан несостоявшимся.</w:t>
      </w:r>
    </w:p>
    <w:p>
      <w:pPr>
        <w:pStyle w:val="ListParagraph"/>
        <w:keepLines/>
        <w:numPr>
          <w:ilvl w:val="0"/>
          <w:numId w:val="5"/>
        </w:numPr>
        <w:tabs>
          <w:tab w:val="clear" w:pos="708"/>
          <w:tab w:val="left" w:pos="284" w:leader="none"/>
        </w:tabs>
        <w:spacing w:before="0" w:after="0"/>
        <w:ind w:left="0" w:hanging="0"/>
        <w:contextualSpacing/>
        <w:jc w:val="both"/>
        <w:outlineLvl w:val="0"/>
        <w:rPr>
          <w:rFonts w:ascii="Times New Roman" w:hAnsi="Times New Roman"/>
          <w:sz w:val="24"/>
          <w:szCs w:val="24"/>
        </w:rPr>
      </w:pPr>
      <w:r>
        <w:rPr>
          <w:rFonts w:eastAsia="Times New Roman" w:ascii="Times New Roman" w:hAnsi="Times New Roman"/>
          <w:sz w:val="24"/>
          <w:szCs w:val="24"/>
        </w:rPr>
        <w:t xml:space="preserve">По результатам рассмотрения заявок на участие в запросе </w:t>
      </w:r>
      <w:r>
        <w:rPr>
          <w:rFonts w:ascii="Times New Roman" w:hAnsi="Times New Roman"/>
          <w:sz w:val="24"/>
          <w:szCs w:val="24"/>
        </w:rPr>
        <w:t>котировок</w:t>
      </w:r>
      <w:r>
        <w:rPr>
          <w:rFonts w:eastAsia="Times New Roman" w:ascii="Times New Roman" w:hAnsi="Times New Roman"/>
          <w:sz w:val="24"/>
          <w:szCs w:val="24"/>
        </w:rPr>
        <w:t xml:space="preserve"> на отборочной стадии закупочной комиссией были приняты следующие решения:</w:t>
      </w:r>
    </w:p>
    <w:p>
      <w:pPr>
        <w:pStyle w:val="NormalWeb"/>
        <w:spacing w:beforeAutospacing="0" w:before="0" w:after="280"/>
        <w:jc w:val="both"/>
        <w:rPr/>
      </w:pPr>
      <w:r>
        <w:rPr/>
        <w:t xml:space="preserve">2.1. Допустить к дальнейшему участию в запросе котировок следующего участника запроса котировок, отвечающего требованиям документации по запросу котировок и подавшему заявку на участие в запросе котировок, отвечающую требованиям документации по запросу котировок: </w:t>
      </w:r>
    </w:p>
    <w:p>
      <w:pPr>
        <w:pStyle w:val="Normal"/>
        <w:rPr>
          <w:rFonts w:ascii="Times New Roman" w:hAnsi="Times New Roman"/>
          <w:b/>
          <w:b/>
          <w:color w:val="000000"/>
        </w:rPr>
      </w:pPr>
      <w:r>
        <w:rPr>
          <w:rFonts w:ascii="Times New Roman" w:hAnsi="Times New Roman"/>
        </w:rPr>
        <w:t>2.1.1.</w:t>
      </w:r>
      <w:r>
        <w:rPr>
          <w:rFonts w:ascii="Times New Roman" w:hAnsi="Times New Roman"/>
          <w:b/>
        </w:rPr>
        <w:t xml:space="preserve"> </w:t>
      </w:r>
      <w:r>
        <w:rPr>
          <w:rFonts w:ascii="Times New Roman" w:hAnsi="Times New Roman"/>
          <w:b/>
          <w:color w:val="000000"/>
        </w:rPr>
        <w:t>ОБЩЕСТВО С ОГРАНИЧЕННОЙ ОТВЕТСТВЕННОСТЬЮ "ЦЕХ 55"</w:t>
      </w:r>
      <w:r>
        <w:rPr>
          <w:rFonts w:ascii="Times New Roman" w:hAnsi="Times New Roman"/>
          <w:b/>
        </w:rPr>
        <w:t>.</w:t>
      </w:r>
    </w:p>
    <w:p>
      <w:pPr>
        <w:pStyle w:val="NormalWeb"/>
        <w:spacing w:beforeAutospacing="0" w:before="120" w:afterAutospacing="0" w:after="0"/>
        <w:jc w:val="both"/>
        <w:rPr>
          <w:rFonts w:eastAsia="Calibri"/>
        </w:rPr>
      </w:pPr>
      <w:r>
        <w:rPr>
          <w:rFonts w:eastAsia="Calibri" w:eastAsiaTheme="minorHAnsi"/>
        </w:rPr>
        <w:t xml:space="preserve">Результаты голосования: </w:t>
      </w:r>
    </w:p>
    <w:p>
      <w:pPr>
        <w:pStyle w:val="Normal"/>
        <w:keepLines w:val="false"/>
        <w:numPr>
          <w:ilvl w:val="0"/>
          <w:numId w:val="1"/>
        </w:numPr>
        <w:rPr>
          <w:rFonts w:ascii="Times New Roman" w:hAnsi="Times New Roman" w:eastAsia="Calibri"/>
        </w:rPr>
      </w:pPr>
      <w:r>
        <w:rPr>
          <w:rFonts w:eastAsia="Calibri" w:ascii="Times New Roman" w:hAnsi="Times New Roman" w:eastAsiaTheme="minorHAnsi"/>
        </w:rPr>
        <w:t xml:space="preserve">«за» –7 голосов; </w:t>
      </w:r>
    </w:p>
    <w:p>
      <w:pPr>
        <w:pStyle w:val="Normal"/>
        <w:keepLines w:val="false"/>
        <w:numPr>
          <w:ilvl w:val="0"/>
          <w:numId w:val="1"/>
        </w:numPr>
        <w:rPr>
          <w:rFonts w:ascii="Times New Roman" w:hAnsi="Times New Roman" w:eastAsia="Calibri"/>
        </w:rPr>
      </w:pPr>
      <w:r>
        <w:rPr>
          <w:rFonts w:eastAsia="Calibri" w:ascii="Times New Roman" w:hAnsi="Times New Roman" w:eastAsiaTheme="minorHAnsi"/>
        </w:rPr>
        <w:t xml:space="preserve">«против» – 0 голосов; </w:t>
      </w:r>
    </w:p>
    <w:p>
      <w:pPr>
        <w:pStyle w:val="ListParagraph"/>
        <w:numPr>
          <w:ilvl w:val="0"/>
          <w:numId w:val="1"/>
        </w:numPr>
        <w:spacing w:before="0" w:after="120"/>
        <w:rPr>
          <w:rFonts w:ascii="Times New Roman" w:hAnsi="Times New Roman" w:eastAsia="Calibri"/>
          <w:sz w:val="24"/>
          <w:szCs w:val="24"/>
        </w:rPr>
      </w:pPr>
      <w:r>
        <w:rPr>
          <w:rFonts w:eastAsia="Calibri" w:ascii="Times New Roman" w:hAnsi="Times New Roman" w:eastAsiaTheme="minorHAnsi"/>
          <w:sz w:val="24"/>
          <w:szCs w:val="24"/>
        </w:rPr>
        <w:t xml:space="preserve">«воздержался» – 0 голосов. </w:t>
      </w:r>
    </w:p>
    <w:p>
      <w:pPr>
        <w:pStyle w:val="ListParagraph"/>
        <w:keepLines/>
        <w:numPr>
          <w:ilvl w:val="0"/>
          <w:numId w:val="4"/>
        </w:numPr>
        <w:tabs>
          <w:tab w:val="clear" w:pos="708"/>
          <w:tab w:val="left" w:pos="284" w:leader="none"/>
        </w:tabs>
        <w:spacing w:before="360" w:after="0"/>
        <w:ind w:left="0" w:hanging="0"/>
        <w:contextualSpacing/>
        <w:jc w:val="both"/>
        <w:outlineLvl w:val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На основании ранжирования заявок на участие в запросе котировок по цене, начиная с наименьшей, с учетом времени подачи заявок, каждой заявке на участие в запросе котировок присвоены следующие места (заявке на участие в запросе котировок, цена которой, является наименьшей из всех поданных заявок, присвоено первое место):</w:t>
      </w:r>
    </w:p>
    <w:tbl>
      <w:tblPr>
        <w:tblW w:w="5000" w:type="pct"/>
        <w:jc w:val="center"/>
        <w:tblInd w:w="0" w:type="dxa"/>
        <w:tblLayout w:type="fixed"/>
        <w:tblCellMar>
          <w:top w:w="0" w:type="dxa"/>
          <w:left w:w="22" w:type="dxa"/>
          <w:bottom w:w="0" w:type="dxa"/>
          <w:right w:w="22" w:type="dxa"/>
        </w:tblCellMar>
        <w:tblLook w:firstRow="1" w:noVBand="1" w:lastRow="0" w:firstColumn="1" w:lastColumn="0" w:noHBand="0" w:val="04a0"/>
      </w:tblPr>
      <w:tblGrid>
        <w:gridCol w:w="1645"/>
        <w:gridCol w:w="4476"/>
        <w:gridCol w:w="3914"/>
      </w:tblGrid>
      <w:tr>
        <w:trPr>
          <w:trHeight w:val="604" w:hRule="atLeast"/>
        </w:trPr>
        <w:tc>
          <w:tcPr>
            <w:tcW w:w="164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jc w:val="center"/>
              <w:rPr>
                <w:rFonts w:ascii="Times New Roman" w:hAnsi="Times New Roman" w:eastAsia="Calibri"/>
                <w:b/>
                <w:b/>
                <w:bCs/>
                <w:lang w:eastAsia="en-US"/>
              </w:rPr>
            </w:pPr>
            <w:r>
              <w:rPr>
                <w:rFonts w:eastAsia="Calibri" w:ascii="Times New Roman" w:hAnsi="Times New Roman" w:eastAsiaTheme="minorHAnsi"/>
                <w:b/>
                <w:bCs/>
                <w:lang w:eastAsia="en-US"/>
              </w:rPr>
              <w:t>Место участника запроса котировок</w:t>
            </w:r>
          </w:p>
        </w:tc>
        <w:tc>
          <w:tcPr>
            <w:tcW w:w="447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jc w:val="center"/>
              <w:rPr>
                <w:rFonts w:ascii="Times New Roman" w:hAnsi="Times New Roman" w:eastAsia="Calibri"/>
                <w:b/>
                <w:b/>
                <w:bCs/>
                <w:lang w:eastAsia="en-US"/>
              </w:rPr>
            </w:pPr>
            <w:r>
              <w:rPr>
                <w:rFonts w:eastAsia="Calibri" w:ascii="Times New Roman" w:hAnsi="Times New Roman" w:eastAsiaTheme="minorHAnsi"/>
                <w:b/>
                <w:bCs/>
                <w:lang w:eastAsia="en-US"/>
              </w:rPr>
              <w:t>Наименование (для юридического лица), ФИО (для физического лица) участника запроса котировок</w:t>
            </w:r>
          </w:p>
        </w:tc>
        <w:tc>
          <w:tcPr>
            <w:tcW w:w="391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jc w:val="center"/>
              <w:rPr>
                <w:rFonts w:ascii="Times New Roman" w:hAnsi="Times New Roman" w:eastAsia="Calibri"/>
                <w:b/>
                <w:b/>
                <w:bCs/>
                <w:lang w:eastAsia="en-US"/>
              </w:rPr>
            </w:pPr>
            <w:r>
              <w:rPr>
                <w:rFonts w:eastAsia="Calibri" w:ascii="Times New Roman" w:hAnsi="Times New Roman" w:eastAsiaTheme="minorHAnsi"/>
                <w:b/>
                <w:bCs/>
                <w:lang w:eastAsia="en-US"/>
              </w:rPr>
              <w:t>Цена заявки на участие в запросе котировок</w:t>
            </w:r>
          </w:p>
        </w:tc>
      </w:tr>
      <w:tr>
        <w:trPr>
          <w:trHeight w:val="1287" w:hRule="atLeast"/>
        </w:trPr>
        <w:tc>
          <w:tcPr>
            <w:tcW w:w="164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jc w:val="center"/>
              <w:rPr>
                <w:rFonts w:ascii="Times New Roman" w:hAnsi="Times New Roman" w:eastAsia="Calibri"/>
                <w:lang w:eastAsia="en-US"/>
              </w:rPr>
            </w:pPr>
            <w:r>
              <w:rPr>
                <w:rFonts w:eastAsia="Calibri" w:ascii="Times New Roman" w:hAnsi="Times New Roman" w:eastAsiaTheme="minorHAnsi"/>
                <w:lang w:eastAsia="en-US"/>
              </w:rPr>
              <w:t>1</w:t>
            </w:r>
          </w:p>
        </w:tc>
        <w:tc>
          <w:tcPr>
            <w:tcW w:w="447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jc w:val="left"/>
              <w:rPr>
                <w:rFonts w:ascii="Times New Roman" w:hAnsi="Times New Roman" w:eastAsia="Calibri"/>
                <w:lang w:eastAsia="en-US"/>
              </w:rPr>
            </w:pPr>
            <w:r>
              <w:rPr>
                <w:rFonts w:eastAsia="Calibri" w:ascii="Times New Roman" w:hAnsi="Times New Roman" w:eastAsiaTheme="minorHAnsi"/>
                <w:lang w:eastAsia="en-US"/>
              </w:rPr>
              <w:t>ОБЩЕСТВО С ОГРАНИЧЕННОЙ ОТВЕТСТВЕННОСТЬЮ "ЦЕХ 55"</w:t>
            </w:r>
          </w:p>
          <w:p>
            <w:pPr>
              <w:pStyle w:val="Normal"/>
              <w:keepLines w:val="false"/>
              <w:widowControl w:val="false"/>
              <w:jc w:val="left"/>
              <w:rPr>
                <w:rFonts w:ascii="Times New Roman" w:hAnsi="Times New Roman" w:eastAsia="Calibri"/>
                <w:lang w:eastAsia="en-US"/>
              </w:rPr>
            </w:pPr>
            <w:r>
              <w:rPr>
                <w:rFonts w:eastAsia="Calibri" w:ascii="Times New Roman" w:hAnsi="Times New Roman" w:eastAsiaTheme="minorHAnsi"/>
                <w:lang w:eastAsia="en-US"/>
              </w:rPr>
              <w:t xml:space="preserve"> </w:t>
            </w:r>
            <w:r>
              <w:rPr>
                <w:rFonts w:eastAsia="Calibri" w:ascii="Times New Roman" w:hAnsi="Times New Roman" w:eastAsiaTheme="minorHAnsi"/>
                <w:lang w:eastAsia="en-US"/>
              </w:rPr>
              <w:t>ИНН: 5838013783</w:t>
            </w:r>
          </w:p>
        </w:tc>
        <w:tc>
          <w:tcPr>
            <w:tcW w:w="391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jc w:val="left"/>
              <w:rPr>
                <w:rFonts w:ascii="Times New Roman" w:hAnsi="Times New Roman" w:eastAsia="Calibri"/>
                <w:lang w:eastAsia="en-US"/>
              </w:rPr>
            </w:pPr>
            <w:r>
              <w:rPr>
                <w:rFonts w:eastAsia="Calibri" w:ascii="Times New Roman" w:hAnsi="Times New Roman" w:eastAsiaTheme="minorHAnsi"/>
                <w:lang w:eastAsia="en-US"/>
              </w:rPr>
              <w:t>457 870,00 руб. (Четыреста пятьдесят семь тысяч восемьсот семьдесят рублей) с учетом НДС.</w:t>
            </w:r>
          </w:p>
        </w:tc>
      </w:tr>
    </w:tbl>
    <w:p>
      <w:pPr>
        <w:pStyle w:val="ListParagraph"/>
        <w:keepLines/>
        <w:numPr>
          <w:ilvl w:val="0"/>
          <w:numId w:val="4"/>
        </w:numPr>
        <w:tabs>
          <w:tab w:val="clear" w:pos="708"/>
          <w:tab w:val="left" w:pos="284" w:leader="none"/>
        </w:tabs>
        <w:spacing w:before="240" w:after="240"/>
        <w:ind w:left="0" w:hanging="0"/>
        <w:contextualSpacing/>
        <w:jc w:val="both"/>
        <w:outlineLvl w:val="0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В связи с тем, что по результатам рассмотрения заявок принято решение о допуске только </w:t>
      </w:r>
      <w:r>
        <w:rPr>
          <w:rFonts w:eastAsia="Calibri" w:ascii="Times New Roman" w:hAnsi="Times New Roman" w:eastAsiaTheme="minorHAnsi"/>
          <w:color w:val="000000" w:themeColor="text1"/>
          <w:sz w:val="24"/>
          <w:szCs w:val="24"/>
        </w:rPr>
        <w:t>одного участника запроса котировок, в соответствии с подпунктом б) пункта 1.2 части 1 статьи 6.4 ЕОСЗ конкурс признан несостоявшимся.</w:t>
      </w:r>
    </w:p>
    <w:p>
      <w:pPr>
        <w:pStyle w:val="ListParagraph"/>
        <w:keepLines/>
        <w:numPr>
          <w:ilvl w:val="0"/>
          <w:numId w:val="4"/>
        </w:numPr>
        <w:tabs>
          <w:tab w:val="clear" w:pos="708"/>
          <w:tab w:val="left" w:pos="284" w:leader="none"/>
        </w:tabs>
        <w:spacing w:before="360" w:after="0"/>
        <w:ind w:left="0" w:hanging="0"/>
        <w:contextualSpacing/>
        <w:jc w:val="both"/>
        <w:outlineLvl w:val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В соответствии с пунктом а) части 4 статьи 6.4 ЕОСЗ заключить договор с единственным допущенным участником запроса котировок ОБЩЕСТВО С ОГРАНИЧЕННОЙ ОТВЕТСТВЕННОСТЬЮ "ЦЕХ 55", ИНН: 5838013783, с ценой заявки 457 870,00 руб. (Четыреста пятьдесят семь тысяч восемьсот семьдесят рублей) с учетом НДС.</w:t>
      </w:r>
    </w:p>
    <w:p>
      <w:pPr>
        <w:pStyle w:val="ListParagraph"/>
        <w:keepLines/>
        <w:numPr>
          <w:ilvl w:val="0"/>
          <w:numId w:val="4"/>
        </w:numPr>
        <w:tabs>
          <w:tab w:val="clear" w:pos="708"/>
          <w:tab w:val="left" w:pos="284" w:leader="none"/>
        </w:tabs>
        <w:spacing w:before="360" w:after="0"/>
        <w:ind w:left="0" w:hanging="0"/>
        <w:contextualSpacing/>
        <w:jc w:val="both"/>
        <w:outlineLvl w:val="0"/>
        <w:rPr>
          <w:rFonts w:ascii="Times New Roman" w:hAnsi="Times New Roman" w:eastAsia="Calibri"/>
          <w:color w:val="000000"/>
          <w:sz w:val="24"/>
          <w:szCs w:val="24"/>
        </w:rPr>
      </w:pPr>
      <w:r>
        <w:rPr>
          <w:rFonts w:eastAsia="Calibri" w:ascii="Times New Roman" w:hAnsi="Times New Roman" w:eastAsiaTheme="minorHAnsi"/>
          <w:sz w:val="24"/>
          <w:szCs w:val="24"/>
        </w:rPr>
        <w:t xml:space="preserve">В соответствии с пунктом а) ч. 2 ст. 9.3 ЕОСЗ провести преддоговорные переговоры по </w:t>
      </w:r>
      <w:r>
        <w:rPr>
          <w:rFonts w:eastAsia="Calibri" w:ascii="Times New Roman" w:hAnsi="Times New Roman" w:eastAsiaTheme="minorHAnsi"/>
          <w:color w:val="000000" w:themeColor="text1"/>
          <w:sz w:val="24"/>
          <w:szCs w:val="24"/>
        </w:rPr>
        <w:t xml:space="preserve">снижению цены с </w:t>
      </w:r>
      <w:r>
        <w:rPr>
          <w:rFonts w:ascii="Times New Roman" w:hAnsi="Times New Roman"/>
          <w:sz w:val="24"/>
          <w:szCs w:val="24"/>
        </w:rPr>
        <w:t>ОБЩЕСТВО С ОГРАНИЧЕННОЙ ОТВЕТСТВЕННОСТЬЮ "ЦЕХ 55", ИНН: 5838013783</w:t>
      </w:r>
      <w:r>
        <w:rPr>
          <w:rFonts w:eastAsia="Calibri" w:ascii="Times New Roman" w:hAnsi="Times New Roman" w:eastAsiaTheme="minorHAnsi"/>
          <w:color w:val="000000" w:themeColor="text1"/>
          <w:sz w:val="24"/>
          <w:szCs w:val="24"/>
        </w:rPr>
        <w:t>.</w:t>
      </w:r>
    </w:p>
    <w:p>
      <w:pPr>
        <w:pStyle w:val="ListParagraph"/>
        <w:numPr>
          <w:ilvl w:val="0"/>
          <w:numId w:val="0"/>
        </w:numPr>
        <w:spacing w:before="60" w:after="0"/>
        <w:ind w:left="0" w:hanging="0"/>
        <w:jc w:val="both"/>
        <w:outlineLvl w:val="0"/>
        <w:rPr>
          <w:rFonts w:ascii="Times New Roman" w:hAnsi="Times New Roman" w:eastAsia="Times New Roman"/>
          <w:b/>
          <w:b/>
          <w:sz w:val="24"/>
          <w:szCs w:val="24"/>
        </w:rPr>
      </w:pPr>
      <w:r>
        <w:rPr>
          <w:rFonts w:eastAsia="Times New Roman" w:ascii="Times New Roman" w:hAnsi="Times New Roman"/>
          <w:b/>
          <w:sz w:val="24"/>
          <w:szCs w:val="24"/>
        </w:rPr>
        <w:t>Закупочная комиссия:</w:t>
      </w:r>
    </w:p>
    <w:p>
      <w:pPr>
        <w:pStyle w:val="Normal"/>
        <w:keepLines w:val="false"/>
        <w:rPr>
          <w:rFonts w:ascii="Times New Roman" w:hAnsi="Times New Roman"/>
        </w:rPr>
      </w:pPr>
      <w:r>
        <w:rPr>
          <w:rFonts w:ascii="Times New Roman" w:hAnsi="Times New Roman"/>
        </w:rPr>
        <w:t>Член закупочной комиссии, подписавший настоящий протокол, руководствуясь отраслевым положением о закупочной комиссии, утвержденным распорядительными документами Госкорпорации «Росатом»:</w:t>
      </w:r>
    </w:p>
    <w:p>
      <w:pPr>
        <w:pStyle w:val="Normal"/>
        <w:keepLines w:val="false"/>
        <w:numPr>
          <w:ilvl w:val="0"/>
          <w:numId w:val="2"/>
        </w:numPr>
        <w:tabs>
          <w:tab w:val="clear" w:pos="708"/>
          <w:tab w:val="left" w:pos="993" w:leader="none"/>
        </w:tabs>
        <w:ind w:left="0" w:firstLine="567"/>
        <w:rPr>
          <w:rFonts w:ascii="Times New Roman" w:hAnsi="Times New Roman"/>
        </w:rPr>
      </w:pPr>
      <w:r>
        <w:rPr>
          <w:rFonts w:ascii="Times New Roman" w:hAnsi="Times New Roman"/>
        </w:rPr>
        <w:t>подтверждает объективность принимаемых решений;</w:t>
      </w:r>
    </w:p>
    <w:p>
      <w:pPr>
        <w:pStyle w:val="Normal"/>
        <w:keepLines w:val="false"/>
        <w:numPr>
          <w:ilvl w:val="0"/>
          <w:numId w:val="2"/>
        </w:numPr>
        <w:tabs>
          <w:tab w:val="clear" w:pos="708"/>
          <w:tab w:val="left" w:pos="993" w:leader="none"/>
        </w:tabs>
        <w:ind w:left="0" w:firstLine="567"/>
        <w:rPr>
          <w:rFonts w:ascii="Times New Roman" w:hAnsi="Times New Roman"/>
        </w:rPr>
      </w:pPr>
      <w:r>
        <w:rPr>
          <w:rFonts w:ascii="Times New Roman" w:hAnsi="Times New Roman"/>
        </w:rPr>
        <w:t xml:space="preserve">заявляет об отсутствии личной заинтересованности в исходе </w:t>
      </w:r>
      <w:r>
        <w:rPr>
          <w:rFonts w:ascii="Times New Roman" w:hAnsi="Times New Roman"/>
          <w:bCs/>
        </w:rPr>
        <w:t xml:space="preserve">запроса </w:t>
      </w:r>
      <w:r>
        <w:rPr>
          <w:rFonts w:ascii="Times New Roman" w:hAnsi="Times New Roman"/>
        </w:rPr>
        <w:t>котировок;</w:t>
      </w:r>
    </w:p>
    <w:p>
      <w:pPr>
        <w:pStyle w:val="Normal"/>
        <w:keepLines w:val="false"/>
        <w:numPr>
          <w:ilvl w:val="0"/>
          <w:numId w:val="2"/>
        </w:numPr>
        <w:tabs>
          <w:tab w:val="clear" w:pos="708"/>
          <w:tab w:val="left" w:pos="993" w:leader="none"/>
        </w:tabs>
        <w:ind w:left="0" w:firstLine="567"/>
        <w:rPr>
          <w:rFonts w:ascii="Times New Roman" w:hAnsi="Times New Roman"/>
        </w:rPr>
      </w:pPr>
      <w:r>
        <w:rPr>
          <w:rFonts w:ascii="Times New Roman" w:hAnsi="Times New Roman"/>
        </w:rPr>
        <w:t>принимает на себя обязательства:</w:t>
      </w:r>
    </w:p>
    <w:p>
      <w:pPr>
        <w:pStyle w:val="Normal"/>
        <w:keepLines w:val="false"/>
        <w:numPr>
          <w:ilvl w:val="0"/>
          <w:numId w:val="3"/>
        </w:numPr>
        <w:ind w:left="1417" w:hanging="425"/>
        <w:rPr>
          <w:rFonts w:ascii="Times New Roman" w:hAnsi="Times New Roman"/>
        </w:rPr>
      </w:pPr>
      <w:r>
        <w:rPr>
          <w:rFonts w:ascii="Times New Roman" w:hAnsi="Times New Roman"/>
        </w:rPr>
        <w:t xml:space="preserve">не допускать во время проведения </w:t>
      </w:r>
      <w:r>
        <w:rPr>
          <w:rFonts w:ascii="Times New Roman" w:hAnsi="Times New Roman"/>
          <w:bCs/>
        </w:rPr>
        <w:t xml:space="preserve">запроса </w:t>
      </w:r>
      <w:r>
        <w:rPr>
          <w:rFonts w:ascii="Times New Roman" w:hAnsi="Times New Roman"/>
        </w:rPr>
        <w:t xml:space="preserve">котировок предоставления сведений о предложениях участников </w:t>
      </w:r>
      <w:r>
        <w:rPr>
          <w:rFonts w:ascii="Times New Roman" w:hAnsi="Times New Roman"/>
          <w:bCs/>
        </w:rPr>
        <w:t xml:space="preserve">запроса </w:t>
      </w:r>
      <w:r>
        <w:rPr>
          <w:rFonts w:ascii="Times New Roman" w:hAnsi="Times New Roman"/>
        </w:rPr>
        <w:t xml:space="preserve">котировок, ходе проведения </w:t>
      </w:r>
      <w:r>
        <w:rPr>
          <w:rFonts w:ascii="Times New Roman" w:hAnsi="Times New Roman"/>
          <w:bCs/>
        </w:rPr>
        <w:t xml:space="preserve">запроса </w:t>
      </w:r>
      <w:r>
        <w:rPr>
          <w:rFonts w:ascii="Times New Roman" w:hAnsi="Times New Roman"/>
        </w:rPr>
        <w:t xml:space="preserve">котировок и принимаемых решениях, за исключением сведений, находящихся в открытом доступе, любым лицам кроме контролирующих органов, руководства заказчика, Госкорпорации «Росатом» и кроме случаев, прямо предусмотренных законодательством Российской Федерации, организационно-распорядительными документами по закупочной деятельности, извещением и </w:t>
      </w:r>
      <w:r>
        <w:rPr>
          <w:rFonts w:ascii="Times New Roman" w:hAnsi="Times New Roman"/>
          <w:lang w:eastAsia="ar-SA"/>
        </w:rPr>
        <w:t xml:space="preserve">документацией по </w:t>
      </w:r>
      <w:r>
        <w:rPr>
          <w:rFonts w:ascii="Times New Roman" w:hAnsi="Times New Roman"/>
        </w:rPr>
        <w:t>запросу котировок;</w:t>
      </w:r>
    </w:p>
    <w:p>
      <w:pPr>
        <w:pStyle w:val="Normal"/>
        <w:keepLines w:val="false"/>
        <w:numPr>
          <w:ilvl w:val="0"/>
          <w:numId w:val="3"/>
        </w:numPr>
        <w:ind w:left="1417" w:hanging="425"/>
        <w:rPr>
          <w:rFonts w:ascii="Times New Roman" w:hAnsi="Times New Roman"/>
        </w:rPr>
      </w:pPr>
      <w:r>
        <w:rPr>
          <w:rFonts w:ascii="Times New Roman" w:hAnsi="Times New Roman"/>
        </w:rPr>
        <w:t xml:space="preserve">не координировать деятельность участников в рамках </w:t>
      </w:r>
      <w:r>
        <w:rPr>
          <w:rFonts w:ascii="Times New Roman" w:hAnsi="Times New Roman"/>
          <w:bCs/>
        </w:rPr>
        <w:t xml:space="preserve">запроса </w:t>
      </w:r>
      <w:r>
        <w:rPr>
          <w:rFonts w:ascii="Times New Roman" w:hAnsi="Times New Roman"/>
        </w:rPr>
        <w:t xml:space="preserve">котировок иначе, чем это предусмотрено законодательством Российской Федерации, ЕОСЗ и условиями проведения </w:t>
      </w:r>
      <w:r>
        <w:rPr>
          <w:rFonts w:ascii="Times New Roman" w:hAnsi="Times New Roman"/>
          <w:bCs/>
        </w:rPr>
        <w:t xml:space="preserve">запроса </w:t>
      </w:r>
      <w:r>
        <w:rPr>
          <w:rFonts w:ascii="Times New Roman" w:hAnsi="Times New Roman"/>
        </w:rPr>
        <w:t>котировок;</w:t>
      </w:r>
    </w:p>
    <w:p>
      <w:pPr>
        <w:pStyle w:val="Normal"/>
        <w:keepLines w:val="false"/>
        <w:numPr>
          <w:ilvl w:val="0"/>
          <w:numId w:val="3"/>
        </w:numPr>
        <w:spacing w:before="0" w:after="60"/>
        <w:ind w:left="1417" w:hanging="425"/>
        <w:rPr>
          <w:rFonts w:ascii="Times New Roman" w:hAnsi="Times New Roman"/>
        </w:rPr>
      </w:pPr>
      <w:r>
        <w:rPr>
          <w:rFonts w:ascii="Times New Roman" w:hAnsi="Times New Roman"/>
        </w:rPr>
        <w:t xml:space="preserve">не проводить переговоров с участниками </w:t>
      </w:r>
      <w:r>
        <w:rPr>
          <w:rFonts w:ascii="Times New Roman" w:hAnsi="Times New Roman"/>
          <w:bCs/>
        </w:rPr>
        <w:t xml:space="preserve">запроса </w:t>
      </w:r>
      <w:r>
        <w:rPr>
          <w:rFonts w:ascii="Times New Roman" w:hAnsi="Times New Roman"/>
        </w:rPr>
        <w:t xml:space="preserve">котировок, кроме случаев, прямо предусмотренных условиями проведения </w:t>
      </w:r>
      <w:r>
        <w:rPr>
          <w:rFonts w:ascii="Times New Roman" w:hAnsi="Times New Roman"/>
          <w:bCs/>
        </w:rPr>
        <w:t xml:space="preserve">запроса </w:t>
      </w:r>
      <w:r>
        <w:rPr>
          <w:rFonts w:ascii="Times New Roman" w:hAnsi="Times New Roman"/>
        </w:rPr>
        <w:t>котировок.</w:t>
      </w:r>
    </w:p>
    <w:p>
      <w:pPr>
        <w:pStyle w:val="Normal"/>
        <w:keepLines w:val="false"/>
        <w:spacing w:before="0" w:after="60"/>
        <w:rPr>
          <w:rFonts w:ascii="Times New Roman" w:hAnsi="Times New Roman"/>
        </w:rPr>
      </w:pPr>
      <w:r>
        <w:rPr>
          <w:rFonts w:ascii="Times New Roman" w:hAnsi="Times New Roman"/>
        </w:rPr>
      </w:r>
    </w:p>
    <w:tbl>
      <w:tblPr>
        <w:tblW w:w="5000" w:type="pct"/>
        <w:jc w:val="center"/>
        <w:tblInd w:w="0" w:type="dxa"/>
        <w:tblLayout w:type="fixed"/>
        <w:tblCellMar>
          <w:top w:w="0" w:type="dxa"/>
          <w:left w:w="22" w:type="dxa"/>
          <w:bottom w:w="0" w:type="dxa"/>
          <w:right w:w="22" w:type="dxa"/>
        </w:tblCellMar>
        <w:tblLook w:firstRow="1" w:noVBand="1" w:lastRow="0" w:firstColumn="1" w:lastColumn="0" w:noHBand="0" w:val="04a0"/>
      </w:tblPr>
      <w:tblGrid>
        <w:gridCol w:w="2263"/>
        <w:gridCol w:w="143"/>
        <w:gridCol w:w="5447"/>
        <w:gridCol w:w="2182"/>
      </w:tblGrid>
      <w:tr>
        <w:trPr>
          <w:trHeight w:val="418" w:hRule="atLeast"/>
        </w:trPr>
        <w:tc>
          <w:tcPr>
            <w:tcW w:w="226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b/>
                <w:b/>
                <w:bCs/>
                <w:lang w:eastAsia="en-US"/>
              </w:rPr>
            </w:pPr>
            <w:r>
              <w:rPr>
                <w:rFonts w:ascii="Times New Roman" w:hAnsi="Times New Roman"/>
                <w:b/>
                <w:bCs/>
                <w:lang w:eastAsia="en-US"/>
              </w:rPr>
              <w:t xml:space="preserve">ФИО </w:t>
            </w:r>
          </w:p>
        </w:tc>
        <w:tc>
          <w:tcPr>
            <w:tcW w:w="5590" w:type="dxa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b/>
                <w:b/>
                <w:bCs/>
                <w:lang w:eastAsia="en-US"/>
              </w:rPr>
            </w:pPr>
            <w:r>
              <w:rPr>
                <w:rFonts w:ascii="Times New Roman" w:hAnsi="Times New Roman"/>
                <w:b/>
                <w:bCs/>
                <w:lang w:eastAsia="en-US"/>
              </w:rPr>
              <w:t xml:space="preserve">Должность </w:t>
            </w:r>
          </w:p>
        </w:tc>
        <w:tc>
          <w:tcPr>
            <w:tcW w:w="218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b/>
                <w:b/>
                <w:bCs/>
                <w:lang w:eastAsia="en-US"/>
              </w:rPr>
            </w:pPr>
            <w:r>
              <w:rPr>
                <w:rFonts w:ascii="Times New Roman" w:hAnsi="Times New Roman"/>
                <w:b/>
                <w:bCs/>
                <w:lang w:eastAsia="en-US"/>
              </w:rPr>
              <w:t>Подпись</w:t>
            </w:r>
          </w:p>
        </w:tc>
      </w:tr>
      <w:tr>
        <w:trPr>
          <w:trHeight w:val="418" w:hRule="atLeast"/>
        </w:trPr>
        <w:tc>
          <w:tcPr>
            <w:tcW w:w="7853" w:type="dxa"/>
            <w:gridSpan w:val="3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jc w:val="left"/>
              <w:rPr>
                <w:rFonts w:ascii="Times New Roman" w:hAnsi="Times New Roman"/>
                <w:b/>
                <w:b/>
                <w:bCs/>
                <w:lang w:eastAsia="en-US"/>
              </w:rPr>
            </w:pPr>
            <w:r>
              <w:rPr>
                <w:rFonts w:ascii="Times New Roman" w:hAnsi="Times New Roman"/>
                <w:b/>
                <w:bCs/>
                <w:lang w:eastAsia="en-US"/>
              </w:rPr>
              <w:t>Председатель закупочной комиссии:</w:t>
            </w:r>
          </w:p>
        </w:tc>
        <w:tc>
          <w:tcPr>
            <w:tcW w:w="218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jc w:val="left"/>
              <w:rPr>
                <w:rFonts w:ascii="Times New Roman" w:hAnsi="Times New Roman"/>
                <w:b/>
                <w:b/>
                <w:bCs/>
                <w:lang w:eastAsia="en-US"/>
              </w:rPr>
            </w:pPr>
            <w:r>
              <w:rPr>
                <w:rFonts w:ascii="Times New Roman" w:hAnsi="Times New Roman"/>
                <w:b/>
                <w:bCs/>
                <w:lang w:eastAsia="en-US"/>
              </w:rPr>
            </w:r>
          </w:p>
        </w:tc>
      </w:tr>
      <w:tr>
        <w:trPr>
          <w:trHeight w:val="418" w:hRule="atLeast"/>
        </w:trPr>
        <w:tc>
          <w:tcPr>
            <w:tcW w:w="2406" w:type="dxa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Серегин С.С.</w:t>
            </w:r>
          </w:p>
        </w:tc>
        <w:tc>
          <w:tcPr>
            <w:tcW w:w="5447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jc w:val="left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Заместитель генерального директора по организации закупочной деятельности</w:t>
            </w:r>
          </w:p>
        </w:tc>
        <w:tc>
          <w:tcPr>
            <w:tcW w:w="218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jc w:val="left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</w:r>
          </w:p>
        </w:tc>
      </w:tr>
      <w:tr>
        <w:trPr>
          <w:trHeight w:val="436" w:hRule="atLeast"/>
        </w:trPr>
        <w:tc>
          <w:tcPr>
            <w:tcW w:w="7853" w:type="dxa"/>
            <w:gridSpan w:val="3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rPr>
                <w:rFonts w:ascii="Times New Roman" w:hAnsi="Times New Roman"/>
                <w:b/>
                <w:b/>
                <w:bCs/>
                <w:lang w:eastAsia="en-US"/>
              </w:rPr>
            </w:pPr>
            <w:r>
              <w:rPr>
                <w:rFonts w:ascii="Times New Roman" w:hAnsi="Times New Roman"/>
                <w:b/>
                <w:bCs/>
                <w:lang w:eastAsia="en-US"/>
              </w:rPr>
              <w:t xml:space="preserve">Члены закупочной комиссии: </w:t>
            </w:r>
          </w:p>
        </w:tc>
        <w:tc>
          <w:tcPr>
            <w:tcW w:w="218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rPr>
                <w:rFonts w:ascii="Times New Roman" w:hAnsi="Times New Roman"/>
                <w:b/>
                <w:b/>
                <w:bCs/>
                <w:lang w:eastAsia="en-US"/>
              </w:rPr>
            </w:pPr>
            <w:r>
              <w:rPr>
                <w:rFonts w:ascii="Times New Roman" w:hAnsi="Times New Roman"/>
                <w:b/>
                <w:bCs/>
                <w:lang w:eastAsia="en-US"/>
              </w:rPr>
            </w:r>
          </w:p>
        </w:tc>
      </w:tr>
      <w:tr>
        <w:trPr>
          <w:trHeight w:val="436" w:hRule="atLeast"/>
        </w:trPr>
        <w:tc>
          <w:tcPr>
            <w:tcW w:w="2406" w:type="dxa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Ожегов В.А. </w:t>
            </w:r>
          </w:p>
        </w:tc>
        <w:tc>
          <w:tcPr>
            <w:tcW w:w="5447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Заместитель генерального директора по безопасности</w:t>
            </w:r>
          </w:p>
        </w:tc>
        <w:tc>
          <w:tcPr>
            <w:tcW w:w="218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rPr>
                <w:rFonts w:ascii="Times New Roman" w:hAnsi="Times New Roman"/>
                <w:bCs/>
                <w:lang w:eastAsia="en-US"/>
              </w:rPr>
            </w:pPr>
            <w:r>
              <w:rPr>
                <w:rFonts w:ascii="Times New Roman" w:hAnsi="Times New Roman"/>
                <w:bCs/>
                <w:lang w:eastAsia="en-US"/>
              </w:rPr>
            </w:r>
          </w:p>
        </w:tc>
      </w:tr>
      <w:tr>
        <w:trPr>
          <w:trHeight w:val="436" w:hRule="atLeast"/>
        </w:trPr>
        <w:tc>
          <w:tcPr>
            <w:tcW w:w="2406" w:type="dxa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Акимушкина Т.В.</w:t>
            </w:r>
          </w:p>
        </w:tc>
        <w:tc>
          <w:tcPr>
            <w:tcW w:w="5447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Заместитель генерального директора по экономике и финансам</w:t>
            </w:r>
          </w:p>
        </w:tc>
        <w:tc>
          <w:tcPr>
            <w:tcW w:w="218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</w:tc>
      </w:tr>
      <w:tr>
        <w:trPr>
          <w:trHeight w:val="436" w:hRule="atLeast"/>
        </w:trPr>
        <w:tc>
          <w:tcPr>
            <w:tcW w:w="2406" w:type="dxa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Селиверстов С.С. </w:t>
            </w:r>
          </w:p>
        </w:tc>
        <w:tc>
          <w:tcPr>
            <w:tcW w:w="5447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color w:val="000000"/>
              </w:rPr>
              <w:t>Начальник управления по правовой и корпоративной работе и имущественному комплексу</w:t>
            </w:r>
          </w:p>
        </w:tc>
        <w:tc>
          <w:tcPr>
            <w:tcW w:w="218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jc w:val="left"/>
              <w:rPr>
                <w:rFonts w:ascii="Times New Roman" w:hAnsi="Times New Roman" w:eastAsia="Calibri"/>
                <w:lang w:eastAsia="en-US"/>
              </w:rPr>
            </w:pPr>
            <w:r>
              <w:rPr>
                <w:rFonts w:eastAsia="Calibri" w:ascii="Times New Roman" w:hAnsi="Times New Roman"/>
                <w:lang w:eastAsia="en-US"/>
              </w:rPr>
            </w:r>
          </w:p>
        </w:tc>
      </w:tr>
      <w:tr>
        <w:trPr>
          <w:trHeight w:val="436" w:hRule="atLeast"/>
        </w:trPr>
        <w:tc>
          <w:tcPr>
            <w:tcW w:w="2406" w:type="dxa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rPr>
                <w:rFonts w:ascii="Times New Roman" w:hAnsi="Times New Roman" w:eastAsia="Calibri"/>
              </w:rPr>
            </w:pPr>
            <w:r>
              <w:rPr>
                <w:rFonts w:eastAsia="Calibri" w:ascii="Times New Roman" w:hAnsi="Times New Roman"/>
              </w:rPr>
              <w:t xml:space="preserve">Никишин А.Ю. </w:t>
            </w:r>
          </w:p>
        </w:tc>
        <w:tc>
          <w:tcPr>
            <w:tcW w:w="5447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rPr>
                <w:rFonts w:ascii="Times New Roman" w:hAnsi="Times New Roman" w:eastAsia="Calibri"/>
              </w:rPr>
            </w:pPr>
            <w:r>
              <w:rPr>
                <w:rFonts w:eastAsia="Calibri" w:ascii="Times New Roman" w:hAnsi="Times New Roman"/>
              </w:rPr>
              <w:t>Ведущий специалист защиты активов</w:t>
            </w:r>
          </w:p>
        </w:tc>
        <w:tc>
          <w:tcPr>
            <w:tcW w:w="218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jc w:val="left"/>
              <w:rPr>
                <w:rFonts w:ascii="Times New Roman" w:hAnsi="Times New Roman" w:eastAsia="Calibri"/>
                <w:lang w:eastAsia="en-US"/>
              </w:rPr>
            </w:pPr>
            <w:r>
              <w:rPr>
                <w:rFonts w:eastAsia="Calibri" w:ascii="Times New Roman" w:hAnsi="Times New Roman"/>
                <w:lang w:eastAsia="en-US"/>
              </w:rPr>
            </w:r>
          </w:p>
        </w:tc>
      </w:tr>
      <w:tr>
        <w:trPr>
          <w:trHeight w:val="436" w:hRule="atLeast"/>
        </w:trPr>
        <w:tc>
          <w:tcPr>
            <w:tcW w:w="2406" w:type="dxa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Горшунова С.А. </w:t>
            </w:r>
          </w:p>
        </w:tc>
        <w:tc>
          <w:tcPr>
            <w:tcW w:w="5447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Ведущий экономист</w:t>
            </w:r>
          </w:p>
        </w:tc>
        <w:tc>
          <w:tcPr>
            <w:tcW w:w="218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jc w:val="left"/>
              <w:rPr>
                <w:rFonts w:ascii="Times New Roman" w:hAnsi="Times New Roman" w:eastAsia="Calibri"/>
                <w:lang w:eastAsia="en-US"/>
              </w:rPr>
            </w:pPr>
            <w:r>
              <w:rPr>
                <w:rFonts w:eastAsia="Calibri" w:ascii="Times New Roman" w:hAnsi="Times New Roman"/>
                <w:lang w:eastAsia="en-US"/>
              </w:rPr>
            </w:r>
          </w:p>
        </w:tc>
      </w:tr>
      <w:tr>
        <w:trPr>
          <w:trHeight w:val="436" w:hRule="atLeast"/>
        </w:trPr>
        <w:tc>
          <w:tcPr>
            <w:tcW w:w="2406" w:type="dxa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rPr>
                <w:rFonts w:ascii="Times New Roman" w:hAnsi="Times New Roman" w:eastAsia="Calibri"/>
                <w:lang w:eastAsia="en-US"/>
              </w:rPr>
            </w:pPr>
            <w:r>
              <w:rPr>
                <w:rFonts w:eastAsia="Calibri" w:ascii="Times New Roman" w:hAnsi="Times New Roman"/>
                <w:lang w:eastAsia="en-US"/>
              </w:rPr>
              <w:t>Чемулов А.Г.</w:t>
            </w:r>
          </w:p>
        </w:tc>
        <w:tc>
          <w:tcPr>
            <w:tcW w:w="5447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jc w:val="left"/>
              <w:rPr>
                <w:rFonts w:ascii="Times New Roman" w:hAnsi="Times New Roman" w:eastAsia="Calibri"/>
                <w:lang w:eastAsia="en-US"/>
              </w:rPr>
            </w:pPr>
            <w:r>
              <w:rPr>
                <w:rFonts w:eastAsia="Calibri" w:ascii="Times New Roman" w:hAnsi="Times New Roman"/>
                <w:lang w:eastAsia="en-US"/>
              </w:rPr>
              <w:t>Ведущий специалист группы конкурсных закупок</w:t>
            </w:r>
          </w:p>
        </w:tc>
        <w:tc>
          <w:tcPr>
            <w:tcW w:w="218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jc w:val="left"/>
              <w:rPr>
                <w:rFonts w:ascii="Times New Roman" w:hAnsi="Times New Roman" w:eastAsia="Calibri"/>
                <w:lang w:eastAsia="en-US"/>
              </w:rPr>
            </w:pPr>
            <w:r>
              <w:rPr>
                <w:rFonts w:eastAsia="Calibri" w:ascii="Times New Roman" w:hAnsi="Times New Roman"/>
                <w:lang w:eastAsia="en-US"/>
              </w:rPr>
            </w:r>
          </w:p>
        </w:tc>
      </w:tr>
      <w:tr>
        <w:trPr>
          <w:trHeight w:val="436" w:hRule="atLeast"/>
        </w:trPr>
        <w:tc>
          <w:tcPr>
            <w:tcW w:w="7853" w:type="dxa"/>
            <w:gridSpan w:val="3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rPr>
                <w:rFonts w:ascii="Times New Roman" w:hAnsi="Times New Roman"/>
                <w:b/>
                <w:b/>
                <w:bCs/>
                <w:lang w:eastAsia="en-US"/>
              </w:rPr>
            </w:pPr>
            <w:r>
              <w:rPr>
                <w:rFonts w:ascii="Times New Roman" w:hAnsi="Times New Roman"/>
                <w:b/>
                <w:bCs/>
                <w:lang w:eastAsia="en-US"/>
              </w:rPr>
              <w:t xml:space="preserve">Секретарь закупочной комиссии (без права голоса) </w:t>
            </w:r>
          </w:p>
        </w:tc>
        <w:tc>
          <w:tcPr>
            <w:tcW w:w="218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rPr>
                <w:rFonts w:ascii="Times New Roman" w:hAnsi="Times New Roman"/>
                <w:b/>
                <w:b/>
                <w:bCs/>
                <w:lang w:eastAsia="en-US"/>
              </w:rPr>
            </w:pPr>
            <w:r>
              <w:rPr>
                <w:rFonts w:ascii="Times New Roman" w:hAnsi="Times New Roman"/>
                <w:b/>
                <w:bCs/>
                <w:lang w:eastAsia="en-US"/>
              </w:rPr>
            </w:r>
          </w:p>
        </w:tc>
      </w:tr>
      <w:tr>
        <w:trPr>
          <w:trHeight w:val="436" w:hRule="atLeast"/>
        </w:trPr>
        <w:tc>
          <w:tcPr>
            <w:tcW w:w="2406" w:type="dxa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spacing w:before="60" w:after="60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Попадьева М.М.</w:t>
            </w:r>
          </w:p>
        </w:tc>
        <w:tc>
          <w:tcPr>
            <w:tcW w:w="5447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spacing w:before="60" w:after="60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Инженер 1 категории группы конкурсных закупок</w:t>
            </w:r>
          </w:p>
        </w:tc>
        <w:tc>
          <w:tcPr>
            <w:tcW w:w="218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spacing w:before="60" w:after="60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</w:r>
          </w:p>
        </w:tc>
      </w:tr>
    </w:tbl>
    <w:p>
      <w:pPr>
        <w:pStyle w:val="Normal"/>
        <w:keepLines w:val="false"/>
        <w:spacing w:before="0" w:after="200"/>
        <w:rPr>
          <w:rFonts w:ascii="Times New Roman" w:hAnsi="Times New Roman"/>
        </w:rPr>
      </w:pPr>
      <w:r>
        <w:rPr/>
      </w:r>
      <w:bookmarkStart w:id="0" w:name="_GoBack"/>
      <w:bookmarkStart w:id="1" w:name="_GoBack"/>
      <w:bookmarkEnd w:id="1"/>
    </w:p>
    <w:sectPr>
      <w:footerReference w:type="default" r:id="rId2"/>
      <w:type w:val="nextPage"/>
      <w:pgSz w:w="11906" w:h="16838"/>
      <w:pgMar w:left="1134" w:right="737" w:gutter="0" w:header="0" w:top="567" w:footer="708" w:bottom="851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Arial">
    <w:charset w:val="cc"/>
    <w:family w:val="roman"/>
    <w:pitch w:val="variable"/>
  </w:font>
  <w:font w:name="Tahoma">
    <w:charset w:val="cc"/>
    <w:family w:val="roman"/>
    <w:pitch w:val="variable"/>
  </w:font>
  <w:font w:name="Liberation Sans">
    <w:altName w:val="Arial"/>
    <w:charset w:val="cc"/>
    <w:family w:val="swiss"/>
    <w:pitch w:val="variable"/>
  </w:font>
  <w:font w:name="Times New Roman">
    <w:charset w:val="cc"/>
    <w:family w:val="roman"/>
    <w:pitch w:val="variable"/>
  </w:font>
  <w:font w:name="Book Antiqua">
    <w:charset w:val="cc"/>
    <w:family w:val="roman"/>
    <w:pitch w:val="variable"/>
  </w:font>
  <w:font w:name="Courier New">
    <w:charset w:val="01"/>
    <w:family w:val="modern"/>
    <w:pitch w:val="fixed"/>
  </w:font>
  <w:font w:name="Wingdings">
    <w:charset w:val="02"/>
    <w:family w:val="auto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sdt>
    <w:sdtPr>
      <w:docPartObj>
        <w:docPartGallery w:val="Page Numbers (Top of Page)"/>
        <w:docPartUnique w:val="true"/>
      </w:docPartObj>
      <w:id w:val="1127805520"/>
    </w:sdtPr>
    <w:sdtContent>
      <w:p>
        <w:pPr>
          <w:pStyle w:val="Style29"/>
          <w:jc w:val="center"/>
          <w:rPr>
            <w:rFonts w:ascii="Times New Roman" w:hAnsi="Times New Roman"/>
            <w:sz w:val="16"/>
            <w:szCs w:val="16"/>
          </w:rPr>
        </w:pPr>
        <w:r>
          <w:rPr>
            <w:rFonts w:ascii="Times New Roman" w:hAnsi="Times New Roman"/>
            <w:sz w:val="16"/>
            <w:szCs w:val="16"/>
          </w:rPr>
          <w:t xml:space="preserve">Страница </w:t>
        </w:r>
        <w:r>
          <w:rPr>
            <w:rFonts w:ascii="Times New Roman" w:hAnsi="Times New Roman"/>
            <w:sz w:val="16"/>
            <w:szCs w:val="16"/>
          </w:rPr>
          <w:fldChar w:fldCharType="begin"/>
        </w:r>
        <w:r>
          <w:rPr>
            <w:sz w:val="16"/>
            <w:szCs w:val="16"/>
            <w:rFonts w:ascii="Times New Roman" w:hAnsi="Times New Roman"/>
          </w:rPr>
          <w:instrText xml:space="preserve"> PAGE </w:instrText>
        </w:r>
        <w:r>
          <w:rPr>
            <w:sz w:val="16"/>
            <w:szCs w:val="16"/>
            <w:rFonts w:ascii="Times New Roman" w:hAnsi="Times New Roman"/>
          </w:rPr>
          <w:fldChar w:fldCharType="separate"/>
        </w:r>
        <w:r>
          <w:rPr>
            <w:sz w:val="16"/>
            <w:szCs w:val="16"/>
            <w:rFonts w:ascii="Times New Roman" w:hAnsi="Times New Roman"/>
          </w:rPr>
          <w:t>3</w:t>
        </w:r>
        <w:r>
          <w:rPr>
            <w:sz w:val="16"/>
            <w:szCs w:val="16"/>
            <w:rFonts w:ascii="Times New Roman" w:hAnsi="Times New Roman"/>
          </w:rPr>
          <w:fldChar w:fldCharType="end"/>
        </w:r>
        <w:r>
          <w:rPr>
            <w:rFonts w:ascii="Times New Roman" w:hAnsi="Times New Roman"/>
            <w:sz w:val="16"/>
            <w:szCs w:val="16"/>
          </w:rPr>
          <w:t xml:space="preserve"> из </w:t>
        </w:r>
        <w:r>
          <w:rPr>
            <w:rFonts w:ascii="Times New Roman" w:hAnsi="Times New Roman"/>
            <w:sz w:val="16"/>
            <w:szCs w:val="16"/>
          </w:rPr>
          <w:fldChar w:fldCharType="begin"/>
        </w:r>
        <w:r>
          <w:rPr>
            <w:sz w:val="16"/>
            <w:szCs w:val="16"/>
            <w:rFonts w:ascii="Times New Roman" w:hAnsi="Times New Roman"/>
          </w:rPr>
          <w:instrText xml:space="preserve"> NUMPAGES </w:instrText>
        </w:r>
        <w:r>
          <w:rPr>
            <w:sz w:val="16"/>
            <w:szCs w:val="16"/>
            <w:rFonts w:ascii="Times New Roman" w:hAnsi="Times New Roman"/>
          </w:rPr>
          <w:fldChar w:fldCharType="separate"/>
        </w:r>
        <w:r>
          <w:rPr>
            <w:sz w:val="16"/>
            <w:szCs w:val="16"/>
            <w:rFonts w:ascii="Times New Roman" w:hAnsi="Times New Roman"/>
          </w:rPr>
          <w:t>3</w:t>
        </w:r>
        <w:r>
          <w:rPr>
            <w:sz w:val="16"/>
            <w:szCs w:val="16"/>
            <w:rFonts w:ascii="Times New Roman" w:hAnsi="Times New Roman"/>
          </w:rPr>
          <w:fldChar w:fldCharType="end"/>
        </w:r>
      </w:p>
    </w:sdtContent>
  </w:sdt>
</w:ft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sz w:val="20"/>
      </w:rPr>
    </w:lvl>
  </w:abstractNum>
  <w:abstractNum w:abstractNumId="2">
    <w:lvl w:ilvl="0">
      <w:start w:val="1"/>
      <w:numFmt w:val="bullet"/>
      <w:lvlText w:val=""/>
      <w:lvlJc w:val="left"/>
      <w:pPr>
        <w:tabs>
          <w:tab w:val="num" w:pos="0"/>
        </w:tabs>
        <w:ind w:left="1287" w:hanging="360"/>
      </w:pPr>
      <w:rPr>
        <w:rFonts w:ascii="Symbol" w:hAnsi="Symbol" w:cs="Symbol" w:hint="default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/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/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/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/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/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/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/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/>
    </w:lvl>
  </w:abstractNum>
  <w:abstractNum w:abstractNumId="3">
    <w:lvl w:ilvl="0">
      <w:start w:val="1"/>
      <w:numFmt w:val="bullet"/>
      <w:lvlText w:val=""/>
      <w:lvlJc w:val="left"/>
      <w:pPr>
        <w:tabs>
          <w:tab w:val="num" w:pos="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/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/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/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/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/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/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/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/>
    </w:lvl>
  </w:abstractNum>
  <w:abstractNum w:abstractNumId="4">
    <w:lvl w:ilvl="0">
      <w:start w:val="3"/>
      <w:numFmt w:val="decimal"/>
      <w:lvlText w:val="%1."/>
      <w:lvlJc w:val="left"/>
      <w:pPr>
        <w:tabs>
          <w:tab w:val="num" w:pos="0"/>
        </w:tabs>
        <w:ind w:left="720" w:hanging="360"/>
      </w:pPr>
      <w:rPr/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/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/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/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/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/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/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/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/>
    </w:lvl>
  </w:abstractNum>
  <w:abstractNum w:abstractNumId="5"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/>
    </w:lvl>
    <w:lvl w:ilvl="1">
      <w:start w:val="2"/>
      <w:numFmt w:val="decimal"/>
      <w:lvlText w:val="%1.%2."/>
      <w:lvlJc w:val="left"/>
      <w:pPr>
        <w:tabs>
          <w:tab w:val="num" w:pos="0"/>
        </w:tabs>
        <w:ind w:left="780" w:hanging="420"/>
      </w:pPr>
      <w:rPr/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080" w:hanging="720"/>
      </w:pPr>
      <w:rPr/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080" w:hanging="720"/>
      </w:pPr>
      <w:rPr/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1440" w:hanging="1080"/>
      </w:pPr>
      <w:rPr/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1440" w:hanging="1080"/>
      </w:pPr>
      <w:rPr/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1800" w:hanging="1440"/>
      </w:pPr>
      <w:rPr/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1800" w:hanging="1440"/>
      </w:pPr>
      <w:rPr/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2160" w:hanging="1800"/>
      </w:pPr>
      <w:rPr/>
    </w:lvl>
  </w:abstractNum>
  <w:abstractNum w:abstractNumId="6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</w:numbering>
</file>

<file path=word/settings.xml><?xml version="1.0" encoding="utf-8"?>
<w:settings xmlns:w="http://schemas.openxmlformats.org/wordprocessingml/2006/main">
  <w:zoom w:percent="103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uiPriority="0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rsid w:val="00e639a5"/>
    <w:pPr>
      <w:keepLines/>
      <w:widowControl/>
      <w:bidi w:val="0"/>
      <w:spacing w:before="0" w:after="0"/>
      <w:jc w:val="both"/>
    </w:pPr>
    <w:rPr>
      <w:rFonts w:ascii="Arial" w:hAnsi="Arial" w:eastAsia="Times New Roman" w:cs="Times New Roman"/>
      <w:color w:val="auto"/>
      <w:kern w:val="0"/>
      <w:sz w:val="24"/>
      <w:szCs w:val="24"/>
      <w:lang w:eastAsia="ru-RU" w:val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yle14">
    <w:name w:val="Hyperlink"/>
    <w:uiPriority w:val="99"/>
    <w:unhideWhenUsed/>
    <w:rPr>
      <w:strike w:val="false"/>
      <w:dstrike w:val="false"/>
      <w:color w:val="0063A4"/>
      <w:u w:val="none"/>
      <w:effect w:val="none"/>
    </w:rPr>
  </w:style>
  <w:style w:type="character" w:styleId="Style15">
    <w:name w:val="FollowedHyperlink"/>
    <w:basedOn w:val="DefaultParagraphFont"/>
    <w:uiPriority w:val="99"/>
    <w:semiHidden/>
    <w:unhideWhenUsed/>
    <w:rPr>
      <w:color w:val="800080" w:themeColor="followedHyperlink"/>
      <w:u w:val="single"/>
    </w:rPr>
  </w:style>
  <w:style w:type="character" w:styleId="Style16" w:customStyle="1">
    <w:name w:val="Текст примечания Знак"/>
    <w:basedOn w:val="DefaultParagraphFont"/>
    <w:link w:val="Annotationtext"/>
    <w:uiPriority w:val="99"/>
    <w:semiHidden/>
    <w:qFormat/>
    <w:locked/>
    <w:rPr>
      <w:rFonts w:ascii="Arial" w:hAnsi="Arial" w:eastAsia="Times New Roman" w:cs="Times New Roman"/>
      <w:sz w:val="20"/>
      <w:szCs w:val="20"/>
      <w:lang w:eastAsia="ru-RU"/>
    </w:rPr>
  </w:style>
  <w:style w:type="character" w:styleId="Style17" w:customStyle="1">
    <w:name w:val="Верхний колонтитул Знак"/>
    <w:basedOn w:val="DefaultParagraphFont"/>
    <w:uiPriority w:val="99"/>
    <w:semiHidden/>
    <w:qFormat/>
    <w:locked/>
    <w:rPr>
      <w:rFonts w:ascii="Arial" w:hAnsi="Arial" w:eastAsia="Times New Roman" w:cs="Times New Roman"/>
      <w:sz w:val="24"/>
      <w:szCs w:val="24"/>
      <w:lang w:eastAsia="ru-RU"/>
    </w:rPr>
  </w:style>
  <w:style w:type="character" w:styleId="Style18" w:customStyle="1">
    <w:name w:val="Нижний колонтитул Знак"/>
    <w:basedOn w:val="DefaultParagraphFont"/>
    <w:uiPriority w:val="99"/>
    <w:qFormat/>
    <w:locked/>
    <w:rPr>
      <w:rFonts w:ascii="Arial" w:hAnsi="Arial" w:eastAsia="Times New Roman" w:cs="Times New Roman"/>
      <w:sz w:val="24"/>
      <w:szCs w:val="24"/>
      <w:lang w:eastAsia="ru-RU"/>
    </w:rPr>
  </w:style>
  <w:style w:type="character" w:styleId="Style19" w:customStyle="1">
    <w:name w:val="Основной текст Знак"/>
    <w:basedOn w:val="DefaultParagraphFont"/>
    <w:uiPriority w:val="99"/>
    <w:qFormat/>
    <w:locked/>
    <w:rPr>
      <w:rFonts w:ascii="Arial" w:hAnsi="Arial" w:eastAsia="Times New Roman" w:cs="Times New Roman"/>
      <w:sz w:val="24"/>
      <w:szCs w:val="24"/>
      <w:lang w:eastAsia="ru-RU"/>
    </w:rPr>
  </w:style>
  <w:style w:type="character" w:styleId="Style20" w:customStyle="1">
    <w:name w:val="Текст выноски Знак"/>
    <w:basedOn w:val="DefaultParagraphFont"/>
    <w:link w:val="BalloonText"/>
    <w:uiPriority w:val="99"/>
    <w:semiHidden/>
    <w:qFormat/>
    <w:locked/>
    <w:rPr>
      <w:rFonts w:ascii="Tahoma" w:hAnsi="Tahoma" w:eastAsia="Times New Roman" w:cs="Tahoma"/>
      <w:sz w:val="16"/>
      <w:szCs w:val="16"/>
      <w:lang w:eastAsia="ru-RU"/>
    </w:rPr>
  </w:style>
  <w:style w:type="character" w:styleId="Annotationreference">
    <w:name w:val="annotation reference"/>
    <w:uiPriority w:val="99"/>
    <w:semiHidden/>
    <w:unhideWhenUsed/>
    <w:qFormat/>
    <w:rPr>
      <w:sz w:val="16"/>
      <w:szCs w:val="16"/>
    </w:rPr>
  </w:style>
  <w:style w:type="character" w:styleId="Style21" w:customStyle="1">
    <w:name w:val="Абзац списка Знак"/>
    <w:link w:val="ListParagraph"/>
    <w:uiPriority w:val="34"/>
    <w:qFormat/>
    <w:rsid w:val="000f0ee8"/>
    <w:rPr>
      <w:rFonts w:ascii="Calibri" w:hAnsi="Calibri" w:eastAsia="Calibri" w:cs="Times New Roman"/>
      <w:sz w:val="22"/>
      <w:szCs w:val="22"/>
      <w:lang w:eastAsia="ru-RU"/>
    </w:rPr>
  </w:style>
  <w:style w:type="paragraph" w:styleId="Style22">
    <w:name w:val="Заголовок"/>
    <w:basedOn w:val="Normal"/>
    <w:next w:val="Style23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Style23">
    <w:name w:val="Body Text"/>
    <w:basedOn w:val="Normal"/>
    <w:link w:val="Style19"/>
    <w:uiPriority w:val="99"/>
    <w:unhideWhenUsed/>
    <w:pPr>
      <w:spacing w:before="0" w:after="160"/>
    </w:pPr>
    <w:rPr/>
  </w:style>
  <w:style w:type="paragraph" w:styleId="Style24">
    <w:name w:val="List"/>
    <w:basedOn w:val="Style23"/>
    <w:pPr/>
    <w:rPr>
      <w:rFonts w:cs="Arial"/>
    </w:rPr>
  </w:style>
  <w:style w:type="paragraph" w:styleId="Style25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26">
    <w:name w:val="Указатель"/>
    <w:basedOn w:val="Normal"/>
    <w:qFormat/>
    <w:pPr>
      <w:suppressLineNumbers/>
    </w:pPr>
    <w:rPr>
      <w:rFonts w:cs="Arial"/>
    </w:rPr>
  </w:style>
  <w:style w:type="paragraph" w:styleId="NormalWeb">
    <w:name w:val="Normal (Web)"/>
    <w:basedOn w:val="Normal"/>
    <w:unhideWhenUsed/>
    <w:qFormat/>
    <w:pPr>
      <w:keepLines w:val="false"/>
      <w:spacing w:beforeAutospacing="1" w:afterAutospacing="1"/>
      <w:jc w:val="left"/>
    </w:pPr>
    <w:rPr>
      <w:rFonts w:ascii="Times New Roman" w:hAnsi="Times New Roman"/>
    </w:rPr>
  </w:style>
  <w:style w:type="paragraph" w:styleId="Annotationtext">
    <w:name w:val="annotation text"/>
    <w:basedOn w:val="Normal"/>
    <w:link w:val="Style16"/>
    <w:uiPriority w:val="99"/>
    <w:semiHidden/>
    <w:unhideWhenUsed/>
    <w:qFormat/>
    <w:pPr/>
    <w:rPr>
      <w:sz w:val="20"/>
      <w:szCs w:val="20"/>
    </w:rPr>
  </w:style>
  <w:style w:type="paragraph" w:styleId="Style27">
    <w:name w:val="Колонтитул"/>
    <w:basedOn w:val="Normal"/>
    <w:qFormat/>
    <w:pPr/>
    <w:rPr/>
  </w:style>
  <w:style w:type="paragraph" w:styleId="Style28">
    <w:name w:val="Header"/>
    <w:basedOn w:val="Normal"/>
    <w:link w:val="Style17"/>
    <w:uiPriority w:val="99"/>
    <w:semiHidden/>
    <w:unhideWhenUsed/>
    <w:pPr>
      <w:tabs>
        <w:tab w:val="clear" w:pos="708"/>
        <w:tab w:val="center" w:pos="4677" w:leader="none"/>
        <w:tab w:val="right" w:pos="9355" w:leader="none"/>
      </w:tabs>
    </w:pPr>
    <w:rPr/>
  </w:style>
  <w:style w:type="paragraph" w:styleId="Style29">
    <w:name w:val="Footer"/>
    <w:basedOn w:val="Normal"/>
    <w:link w:val="Style18"/>
    <w:uiPriority w:val="99"/>
    <w:unhideWhenUsed/>
    <w:pPr>
      <w:tabs>
        <w:tab w:val="clear" w:pos="708"/>
        <w:tab w:val="center" w:pos="4677" w:leader="none"/>
        <w:tab w:val="right" w:pos="9355" w:leader="none"/>
      </w:tabs>
    </w:pPr>
    <w:rPr/>
  </w:style>
  <w:style w:type="paragraph" w:styleId="BalloonText">
    <w:name w:val="Balloon Text"/>
    <w:basedOn w:val="Normal"/>
    <w:link w:val="Style20"/>
    <w:uiPriority w:val="99"/>
    <w:semiHidden/>
    <w:unhideWhenUsed/>
    <w:qFormat/>
    <w:pPr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link w:val="Style21"/>
    <w:uiPriority w:val="34"/>
    <w:qFormat/>
    <w:pPr>
      <w:keepLines w:val="false"/>
      <w:ind w:left="720" w:hanging="0"/>
      <w:jc w:val="left"/>
    </w:pPr>
    <w:rPr>
      <w:rFonts w:ascii="Calibri" w:hAnsi="Calibri" w:eastAsia="Calibri"/>
      <w:sz w:val="22"/>
      <w:szCs w:val="22"/>
    </w:rPr>
  </w:style>
  <w:style w:type="paragraph" w:styleId="31" w:customStyle="1">
    <w:name w:val="Основной текст 31"/>
    <w:basedOn w:val="Normal"/>
    <w:uiPriority w:val="99"/>
    <w:semiHidden/>
    <w:qFormat/>
    <w:pPr>
      <w:keepLines w:val="false"/>
      <w:suppressAutoHyphens w:val="true"/>
      <w:spacing w:before="0"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styleId="311" w:customStyle="1">
    <w:name w:val="Основной текст с отступом 31"/>
    <w:basedOn w:val="Normal"/>
    <w:uiPriority w:val="99"/>
    <w:semiHidden/>
    <w:qFormat/>
    <w:pPr>
      <w:keepLines w:val="false"/>
      <w:suppressAutoHyphens w:val="true"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paragraph" w:styleId="NoSpacing">
    <w:name w:val="No Spacing"/>
    <w:uiPriority w:val="1"/>
    <w:qFormat/>
    <w:rsid w:val="000c1b2f"/>
    <w:pPr>
      <w:widowControl/>
      <w:bidi w:val="0"/>
      <w:spacing w:before="0" w:after="0"/>
      <w:jc w:val="left"/>
    </w:pPr>
    <w:rPr>
      <w:rFonts w:ascii="Calibri" w:hAnsi="Calibri" w:eastAsia="Calibri" w:cs="Times New Roman" w:asciiTheme="minorHAnsi" w:eastAsiaTheme="minorHAnsi" w:hAnsiTheme="minorHAnsi"/>
      <w:color w:val="auto"/>
      <w:kern w:val="0"/>
      <w:sz w:val="22"/>
      <w:szCs w:val="22"/>
      <w:lang w:val="ru-RU" w:eastAsia="en-US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af3">
    <w:name w:val="Table Grid"/>
    <w:basedOn w:val="a1"/>
    <w:rPr>
      <w:sz w:val="24"/>
      <w:szCs w:val="24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">
    <w:name w:val="Сетка таблицы1"/>
    <w:basedOn w:val="a1"/>
    <w:uiPriority w:val="59"/>
    <w:rsid w:val="000e4d54"/>
    <w:rPr>
      <w:lang w:eastAsia="ru-RU"/>
      <w:sz w:val="24"/>
      <w:szCs w:val="24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">
    <w:name w:val="Сетка таблицы2"/>
    <w:basedOn w:val="a1"/>
    <w:rsid w:val="000f0ee8"/>
    <w:rPr>
      <w:lang w:eastAsia="ru-RU"/>
      <w:sz w:val="24"/>
      <w:szCs w:val="24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oter" Target="footer1.xml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<Relationship Id="rId7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7C6B668-F1FB-4CAA-BBD4-5D8E38272D8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523</TotalTime>
  <Application>LibreOffice/7.4.4.2$Windows_X86_64 LibreOffice_project/85569322deea74ec9134968a29af2df5663baa21</Application>
  <AppVersion>15.0000</AppVersion>
  <Pages>3</Pages>
  <Words>994</Words>
  <Characters>6704</Characters>
  <CharactersWithSpaces>7614</CharactersWithSpaces>
  <Paragraphs>100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2019-05-24T05:30:00Z</dcterms:created>
  <dc:creator>ss</dc:creator>
  <dc:description/>
  <dc:language>ru-RU</dc:language>
  <cp:lastModifiedBy/>
  <cp:lastPrinted>2024-10-11T10:22:00Z</cp:lastPrinted>
  <dcterms:modified xsi:type="dcterms:W3CDTF">2024-10-14T15:10:03Z</dcterms:modified>
  <cp:revision>195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