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/>
        <w:drawing>
          <wp:inline distT="0" distB="0" distL="0" distR="0">
            <wp:extent cx="1111250" cy="50419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29" t="-286" r="-129" b="-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ФЕДЕРАЛЬНОЕ ГОСУДАРСТВЕННОЕ УНИТАРНОЕ ПРЕДПРИЯТИЕ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«ГОРНО-ХИМИЧЕСКИЙ КОМБИНАТ»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(ФГУП  «ГХК»)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ПРОТОКОЛ №</w:t>
      </w:r>
      <w:r>
        <w:rPr>
          <w:b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26"/>
          <w:szCs w:val="26"/>
          <w:lang w:val="ru-RU" w:bidi="ar-SA"/>
        </w:rPr>
        <w:t>32414185572/3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заседания закупочной комиссии по подведению итогов в открытом аукционе (итоговый протокол) в электронной форме на право заключения договора на поставку летней специальной одежды, специальной обуви и других средств индивидуальной защиты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Cs/>
        </w:rPr>
        <w:t>г. Железногорск</w:t>
        <w:tab/>
        <w:tab/>
        <w:tab/>
        <w:tab/>
        <w:t xml:space="preserve">         дата подписания протокола «___» декабря 2024 г.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Информация о закупке: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Заказчик: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Общество с ограниченной ответственностью «Производственное ремонтно-эксплуатационное хозяйство Горно-химического комбината» (ООО «ПРЭХ ГХК») </w:t>
      </w: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eastAsia="Calibri" w:cs="Times New Roman" w:ascii="Times New Roman" w:hAnsi="Times New Roman"/>
          <w:sz w:val="24"/>
          <w:szCs w:val="24"/>
          <w:lang w:eastAsia="en-US"/>
        </w:rPr>
        <w:t>662972, РФ, Красноярский край, ЗАТО Железногорск, г.Железногорск, ул.Ленина, д.74Б, пом.45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Организатор закупки:</w:t>
      </w:r>
      <w:r>
        <w:rPr>
          <w:rFonts w:cs="Times New Roman" w:ascii="Times New Roman" w:hAnsi="Times New Roman"/>
          <w:sz w:val="24"/>
          <w:szCs w:val="24"/>
        </w:rPr>
        <w:t xml:space="preserve"> Федеральное государственное унитарное предприятие "Горно-химический комбинат" (Россия, 662972, ЗАТО Железногорск, г. Железногорск, Красноярского края, ул. Ленина, 53).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Наименование закупки:</w:t>
      </w:r>
      <w:r>
        <w:rPr>
          <w:rFonts w:cs="Times New Roman" w:ascii="Times New Roman" w:hAnsi="Times New Roman"/>
          <w:sz w:val="24"/>
          <w:szCs w:val="24"/>
        </w:rPr>
        <w:t xml:space="preserve"> открытый аукцион в электронной форме на право заключения договора </w:t>
      </w:r>
      <w:r>
        <w:rPr>
          <w:rFonts w:cs="Times New Roman" w:ascii="Times New Roman" w:hAnsi="Times New Roman"/>
          <w:bCs/>
          <w:sz w:val="24"/>
          <w:szCs w:val="24"/>
        </w:rPr>
        <w:t xml:space="preserve">на поставку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летней специальной одежды, специальной обуви и других средств индивидуальной защиты</w:t>
      </w:r>
      <w:r>
        <w:rPr>
          <w:rFonts w:cs="Times New Roman" w:ascii="Times New Roman" w:hAnsi="Times New Roman"/>
          <w:bCs/>
          <w:sz w:val="24"/>
          <w:szCs w:val="24"/>
        </w:rPr>
        <w:t>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Предмет договора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  <w:sz w:val="24"/>
          <w:szCs w:val="24"/>
        </w:rPr>
        <w:t xml:space="preserve">поставка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летней специальной одежды, специальной обуви и других средств индивидуальной защиты.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Состав и объем </w:t>
      </w:r>
      <w:r>
        <w:rPr>
          <w:rFonts w:cs="Times New Roman" w:ascii="Times New Roman" w:hAnsi="Times New Roman"/>
          <w:b/>
          <w:bCs/>
          <w:i/>
          <w:sz w:val="24"/>
          <w:szCs w:val="24"/>
        </w:rPr>
        <w:t>товара/работ/услуг</w:t>
      </w:r>
      <w:r>
        <w:rPr>
          <w:rFonts w:cs="Times New Roman" w:ascii="Times New Roman" w:hAnsi="Times New Roman"/>
          <w:b/>
          <w:bCs/>
          <w:sz w:val="24"/>
          <w:szCs w:val="24"/>
        </w:rPr>
        <w:t>:</w:t>
      </w:r>
      <w:r>
        <w:rPr>
          <w:rFonts w:cs="Times New Roman" w:ascii="Times New Roman" w:hAnsi="Times New Roman"/>
          <w:bCs/>
          <w:sz w:val="24"/>
          <w:szCs w:val="24"/>
        </w:rPr>
        <w:t xml:space="preserve"> все необходимые сведения приведены в Томе 2 закупочной документации.</w:t>
      </w:r>
    </w:p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Срок </w:t>
      </w:r>
      <w:r>
        <w:rPr>
          <w:rFonts w:cs="Times New Roman" w:ascii="Times New Roman" w:hAnsi="Times New Roman"/>
          <w:b/>
          <w:i/>
          <w:sz w:val="24"/>
          <w:szCs w:val="24"/>
        </w:rPr>
        <w:t>поставки товара, выполнения работ или оказания услуг</w:t>
      </w:r>
      <w:r>
        <w:rPr>
          <w:rFonts w:cs="Times New Roman" w:ascii="Times New Roman" w:hAnsi="Times New Roman"/>
          <w:b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  <w:sz w:val="24"/>
          <w:szCs w:val="24"/>
        </w:rPr>
        <w:t>все необходимые сведения приведены в Томе 2 закупочной документации.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rPr>
          <w:rFonts w:ascii="Times New Roman" w:hAnsi="Times New Roman" w:eastAsia="Times New Roman" w:cs="Times New Roman"/>
          <w:b/>
          <w:color w:val="auto"/>
          <w:sz w:val="24"/>
          <w:szCs w:val="24"/>
          <w:lang w:val="ru-RU" w:bidi="ar-SA"/>
        </w:rPr>
      </w:pPr>
      <w:r>
        <w:rPr>
          <w:rFonts w:cs="Times New Roman"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9 362 862 </w:t>
      </w:r>
      <w:r>
        <w:rPr>
          <w:rFonts w:cs="Times New Roman" w:ascii="Times New Roman" w:hAnsi="Times New Roman"/>
          <w:sz w:val="24"/>
          <w:szCs w:val="24"/>
        </w:rPr>
        <w:t xml:space="preserve">(девять миллионов триста шестьдесят две тысячи восемьсот шестьдесят два) рубля </w:t>
      </w:r>
      <w:r>
        <w:rPr>
          <w:rFonts w:cs="Times New Roman" w:ascii="Times New Roman" w:hAnsi="Times New Roman"/>
          <w:b/>
          <w:sz w:val="24"/>
          <w:szCs w:val="24"/>
        </w:rPr>
        <w:t>03</w:t>
      </w:r>
      <w:r>
        <w:rPr>
          <w:rFonts w:cs="Times New Roman" w:ascii="Times New Roman" w:hAnsi="Times New Roman"/>
          <w:sz w:val="24"/>
          <w:szCs w:val="24"/>
        </w:rPr>
        <w:t xml:space="preserve"> копейки, включая НДС.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rPr>
          <w:rFonts w:ascii="Times New Roman" w:hAnsi="Times New Roman" w:eastAsia="Times New Roman" w:cs="Times New Roman"/>
          <w:b w:val="false"/>
          <w:bCs w:val="false"/>
          <w:color w:val="auto"/>
          <w:sz w:val="20"/>
          <w:szCs w:val="20"/>
          <w:lang w:val="ru-RU" w:bidi="ar-SA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  <w:lang w:val="ru-RU" w:bidi="ar-SA"/>
        </w:rPr>
        <w:t>Начальная (максимальная) цена единицы продукции:</w:t>
      </w:r>
    </w:p>
    <w:tbl>
      <w:tblPr>
        <w:tblW w:w="9988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4424"/>
        <w:gridCol w:w="2437"/>
        <w:gridCol w:w="2488"/>
      </w:tblGrid>
      <w:tr>
        <w:trPr/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</w:tabs>
              <w:suppressAutoHyphens w:val="true"/>
              <w:spacing w:before="0" w:after="0"/>
              <w:contextualSpacing/>
              <w:jc w:val="center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п/п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134" w:leader="none"/>
                <w:tab w:val="left" w:pos="4050" w:leader="none"/>
              </w:tabs>
              <w:suppressAutoHyphens w:val="true"/>
              <w:spacing w:before="0" w:after="0"/>
              <w:contextualSpacing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Наименование продукции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Размер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 w:bidi="ar-SA"/>
              </w:rPr>
              <w:t>Начальная (максимальная) цена единицы продукции, руб., включая НДС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3 735,78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сигнальный для защиты от общих производственных загрязнений и механических воздействий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7 069,02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нефти и нефтепродуктов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60-62/194-200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9 177,60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32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Костюм для защиты от вредных биологических факторов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52-54/158-164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4 302,06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Белье нательное хлопчатобумажное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56-58/170-176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 xml:space="preserve"> </w:t>
            </w: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1 003,92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72-74-182-188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1 003,92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Плащ для защиты от воды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48-50/158-200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80-82/170-200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1 471,20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Жилет сигнальный огнестойкий 2-го класса защиты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44-46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48-50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52-54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56-58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60-62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64-66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68-70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80-82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4 272,00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58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Подшлемник под каску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400,72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59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Туфли (тапочки) кожаные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2 056,50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2 056,50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1 954,50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79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83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 с защитным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99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4 297,20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100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Ботинки кожаные с защитным подноском для защиты от повышенных температур на термостойкой маслобензостойкой подошве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3 427,26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105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кожаные с защитным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109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6 546,54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111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кожаные с жестким подноском для защиты от повышенных температур, искр и брызг расплавленного металла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4 496,40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116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резиновые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852,00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118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119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1 452,30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128</w:t>
            </w:r>
          </w:p>
        </w:tc>
        <w:tc>
          <w:tcPr>
            <w:tcW w:w="44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Сапоги резиновые с жестким подноском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36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129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37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130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38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131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39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132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40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133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41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134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42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135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43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136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44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137</w:t>
            </w:r>
          </w:p>
        </w:tc>
        <w:tc>
          <w:tcPr>
            <w:tcW w:w="442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rFonts w:ascii="Times New Roman" w:hAnsi="Times New Roman" w:eastAsia="Tahoma" w:cs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4"/>
                <w:szCs w:val="20"/>
                <w:lang w:val="ru-RU" w:eastAsia="zh-CN" w:bidi="hi-IN"/>
              </w:rPr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45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1 663,02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138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Каска защитная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241,60</w:t>
            </w:r>
          </w:p>
        </w:tc>
      </w:tr>
      <w:tr>
        <w:trPr/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139</w:t>
            </w:r>
          </w:p>
        </w:tc>
        <w:tc>
          <w:tcPr>
            <w:tcW w:w="4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Tahoma" w:cs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zh-CN" w:bidi="hi-IN"/>
              </w:rPr>
              <w:t>Фартук из полимерных материалов с нагрудников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ahoma" w:cs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Tahoma" w:cs="Times New Roman" w:ascii="Times New Roman" w:hAnsi="Times New Roman"/>
                <w:color w:val="000000"/>
                <w:kern w:val="0"/>
                <w:sz w:val="20"/>
                <w:szCs w:val="20"/>
                <w:lang w:val="ru-RU" w:eastAsia="zh-CN" w:bidi="hi-IN"/>
              </w:rPr>
              <w:t>581,52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Извещение о проведении закупки и закупочная документация опубликованы «12» ноября 2024 года на официальном государственном сайте (http://www.zakupki.gov.ru), закупка №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  <w:lang w:val="ru-RU" w:bidi="ar-SA"/>
        </w:rPr>
        <w:t>32414185572</w:t>
      </w:r>
      <w:r>
        <w:rPr>
          <w:rFonts w:cs="Times New Roman" w:ascii="Times New Roman" w:hAnsi="Times New Roman"/>
          <w:sz w:val="24"/>
          <w:szCs w:val="24"/>
        </w:rPr>
        <w:t xml:space="preserve">, на официальном сайте по закупкам атомной отрасли </w:t>
      </w:r>
      <w:hyperlink r:id="rId3">
        <w:r>
          <w:rPr>
            <w:rStyle w:val="-"/>
            <w:rFonts w:cs="Times New Roman" w:ascii="Times New Roman" w:hAnsi="Times New Roman"/>
            <w:sz w:val="24"/>
            <w:szCs w:val="24"/>
          </w:rPr>
          <w:t>http://zakupki.rosatom.ru/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закупка </w:t>
      </w:r>
      <w:r>
        <w:rPr>
          <w:rFonts w:cs="Times New Roman" w:ascii="Times New Roman" w:hAnsi="Times New Roman"/>
          <w:b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</w:rPr>
        <w:t>28069</w:t>
      </w:r>
      <w:r>
        <w:rPr>
          <w:rFonts w:cs="Times New Roman" w:ascii="Times New Roman" w:hAnsi="Times New Roman"/>
          <w:sz w:val="24"/>
          <w:szCs w:val="24"/>
        </w:rPr>
        <w:t>, на ЭТП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 xml:space="preserve"> «ЭТС (НЭП)»</w:t>
      </w:r>
      <w:r>
        <w:rPr>
          <w:rFonts w:cs="Times New Roman" w:ascii="Times New Roman" w:hAnsi="Times New Roman"/>
          <w:sz w:val="24"/>
          <w:szCs w:val="24"/>
        </w:rPr>
        <w:t xml:space="preserve">, по адресу в сети «Интернет»: </w:t>
      </w:r>
      <w:hyperlink r:id="rId4">
        <w:r>
          <w:rPr>
            <w:rFonts w:cs="Times New Roman" w:ascii="Times New Roman" w:hAnsi="Times New Roman"/>
            <w:sz w:val="24"/>
            <w:szCs w:val="24"/>
          </w:rPr>
          <w:t>https://www.etp-ets.ru</w:t>
        </w:r>
      </w:hyperlink>
      <w:r>
        <w:rPr>
          <w:rFonts w:cs="Times New Roman" w:ascii="Times New Roman" w:hAnsi="Times New Roman"/>
          <w:sz w:val="24"/>
          <w:szCs w:val="24"/>
        </w:rPr>
        <w:t>, закупка №</w:t>
      </w:r>
      <w:r>
        <w:rPr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4153E"/>
          <w:spacing w:val="0"/>
          <w:sz w:val="24"/>
          <w:szCs w:val="24"/>
          <w:lang w:val="ru-RU" w:bidi="ar-SA"/>
        </w:rPr>
        <w:t>32414185572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Заседание закупочной комиссии проводится в очной форме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11:00 (время московское) «1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» декабря 2024 года, по адресу: 662972, РФ, ЗАТО Железногорск, г. Железногорск, Красноярского края, ул. Ленина, д.56.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Сведения о составе членов закупочной комиссии приведены в разделе «Закупочная комиссия» настоящего протокола.</w:t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keepLines w:val="false"/>
        <w:widowControl w:val="fals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Заседание проводится в присутствии __9__ из 13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113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Срок окончания подачи заявок на участие в закупке 05:00 (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время московское</w:t>
      </w:r>
      <w:r>
        <w:rPr>
          <w:rFonts w:cs="Times New Roman" w:ascii="Times New Roman" w:hAnsi="Times New Roman"/>
          <w:sz w:val="24"/>
          <w:szCs w:val="24"/>
        </w:rPr>
        <w:t>) «28» ноября 2024 года.</w:t>
      </w:r>
    </w:p>
    <w:p>
      <w:pPr>
        <w:pStyle w:val="Normal"/>
        <w:widowControl w:val="fals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ru-RU" w:bidi="ar-SA"/>
        </w:rPr>
        <w:t>«ЭТС (НЭП)»</w:t>
      </w:r>
      <w:r>
        <w:rPr>
          <w:rFonts w:cs="Times New Roman" w:ascii="Times New Roman" w:hAnsi="Times New Roman"/>
          <w:sz w:val="24"/>
          <w:szCs w:val="24"/>
        </w:rPr>
        <w:t xml:space="preserve"> заявок на участие в закупке  – 5 (пять).</w:t>
      </w:r>
    </w:p>
    <w:p>
      <w:pPr>
        <w:pStyle w:val="Normal"/>
        <w:widowControl w:val="false"/>
        <w:rPr>
          <w:rFonts w:ascii="Times New Roman" w:hAnsi="Times New Roman" w:cs="Times New Roman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sz w:val="24"/>
          <w:szCs w:val="24"/>
        </w:rPr>
        <w:t>Согласно результатам открытия доступа к первым частям заявок на участие в закупке:</w:t>
      </w:r>
    </w:p>
    <w:tbl>
      <w:tblPr>
        <w:tblW w:w="1025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7"/>
        <w:gridCol w:w="3578"/>
        <w:gridCol w:w="4876"/>
      </w:tblGrid>
      <w:tr>
        <w:trPr>
          <w:tblHeader w:val="true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Рег. № заявки на ЭТП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Наименование участника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2"/>
                <w:szCs w:val="22"/>
              </w:rPr>
              <w:t>Дата и время регистрации заявки</w:t>
            </w:r>
          </w:p>
        </w:tc>
      </w:tr>
      <w:tr>
        <w:trPr>
          <w:trHeight w:val="447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1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№1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«20»ноября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08:28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2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№2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«26»ноября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13:33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№3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16:24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4</w:t>
            </w:r>
          </w:p>
        </w:tc>
        <w:tc>
          <w:tcPr>
            <w:tcW w:w="35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№4</w:t>
            </w:r>
          </w:p>
        </w:tc>
        <w:tc>
          <w:tcPr>
            <w:tcW w:w="4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17:26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  <w:tr>
        <w:trPr>
          <w:trHeight w:val="3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5</w:t>
            </w:r>
          </w:p>
        </w:tc>
        <w:tc>
          <w:tcPr>
            <w:tcW w:w="35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Заявка №5</w:t>
            </w:r>
          </w:p>
        </w:tc>
        <w:tc>
          <w:tcPr>
            <w:tcW w:w="48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«27»ноября 2024 года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18:50 (вре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val="ru-RU" w:bidi="ar-SA"/>
              </w:rPr>
              <w:t>мя московское)</w:t>
            </w:r>
          </w:p>
        </w:tc>
      </w:tr>
    </w:tbl>
    <w:p>
      <w:pPr>
        <w:pStyle w:val="Normal"/>
        <w:keepLines w:val="false"/>
        <w:tabs>
          <w:tab w:val="clear" w:pos="708"/>
          <w:tab w:val="left" w:pos="567" w:leader="none"/>
        </w:tabs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6"/>
          <w:szCs w:val="26"/>
        </w:rPr>
        <w:t xml:space="preserve">2. </w:t>
      </w:r>
      <w:r>
        <w:rPr>
          <w:rFonts w:cs="Times New Roman" w:ascii="Times New Roman" w:hAnsi="Times New Roman"/>
          <w:sz w:val="24"/>
          <w:szCs w:val="24"/>
        </w:rPr>
        <w:t>Согласно протоколу заседания закупочной комиссии по рассмотрению первых частей заявок от 06.12.2024г. № 32414185572/1 закупочной комиссией были приняты следующие решения:</w:t>
      </w:r>
    </w:p>
    <w:p>
      <w:pPr>
        <w:pStyle w:val="Normal"/>
        <w:widowControl w:val="false"/>
        <w:numPr>
          <w:ilvl w:val="1"/>
          <w:numId w:val="4"/>
        </w:numPr>
        <w:spacing w:before="113" w:after="0"/>
        <w:ind w:left="0" w:right="0" w:hanging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Признать</w:t>
      </w:r>
      <w:r>
        <w:rPr>
          <w:rFonts w:cs="Times New Roman" w:ascii="Times New Roman" w:hAnsi="Times New Roman"/>
          <w:sz w:val="24"/>
          <w:szCs w:val="24"/>
        </w:rPr>
        <w:t xml:space="preserve"> соответствующими требованиям закупочной документации первые части заявок участников, которым присвоены следующие</w:t>
      </w: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уникальные идентификационные номера</w:t>
      </w:r>
      <w:r>
        <w:rPr>
          <w:rFonts w:eastAsia="Calibri"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before="120" w:after="0"/>
        <w:ind w:left="0" w:right="0"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2.1.1. </w:t>
      </w:r>
      <w:r>
        <w:rPr>
          <w:rFonts w:cs="Times New Roman" w:ascii="Times New Roman" w:hAnsi="Times New Roman"/>
          <w:b/>
          <w:bCs/>
          <w:sz w:val="24"/>
          <w:szCs w:val="24"/>
        </w:rPr>
        <w:t>Заявка № 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b/>
          <w:bCs/>
          <w:i w:val="false"/>
          <w:iCs w:val="false"/>
          <w:sz w:val="24"/>
          <w:szCs w:val="24"/>
        </w:rPr>
        <w:t>2</w:t>
      </w:r>
    </w:p>
    <w:p>
      <w:pPr>
        <w:pStyle w:val="Normal"/>
        <w:widowControl w:val="false"/>
        <w:numPr>
          <w:ilvl w:val="1"/>
          <w:numId w:val="4"/>
        </w:numPr>
        <w:spacing w:before="113" w:after="0"/>
        <w:ind w:left="0" w:right="0" w:hanging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Отклонить</w:t>
      </w:r>
      <w:r>
        <w:rPr>
          <w:rFonts w:cs="Times New Roman" w:ascii="Times New Roman" w:hAnsi="Times New Roman"/>
          <w:sz w:val="24"/>
          <w:szCs w:val="24"/>
        </w:rPr>
        <w:t xml:space="preserve"> заявки участников</w:t>
      </w:r>
      <w:r>
        <w:rPr>
          <w:rFonts w:eastAsia="Calibri" w:cs="Times New Roman" w:ascii="Times New Roman" w:hAnsi="Times New Roman"/>
          <w:sz w:val="24"/>
          <w:szCs w:val="24"/>
        </w:rPr>
        <w:t xml:space="preserve">, которым присвоены следующие </w:t>
      </w:r>
      <w:r>
        <w:rPr>
          <w:rFonts w:cs="Times New Roman" w:ascii="Times New Roman" w:hAnsi="Times New Roman"/>
          <w:sz w:val="24"/>
          <w:szCs w:val="24"/>
        </w:rPr>
        <w:t>уникальные идентификационные номера: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1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: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ru-RU" w:bidi="ar-SA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3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: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4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:</w:t>
      </w:r>
    </w:p>
    <w:p>
      <w:pPr>
        <w:pStyle w:val="Normal"/>
        <w:keepLines/>
        <w:widowControl/>
        <w:numPr>
          <w:ilvl w:val="2"/>
          <w:numId w:val="4"/>
        </w:numPr>
        <w:tabs>
          <w:tab w:val="clear" w:pos="708"/>
          <w:tab w:val="left" w:pos="913" w:leader="none"/>
        </w:tabs>
        <w:bidi w:val="0"/>
        <w:spacing w:before="113" w:after="0"/>
        <w:ind w:left="0" w:right="0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Заявка №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 рег.№ заявки</w:t>
      </w:r>
      <w:r>
        <w:rPr>
          <w:rFonts w:cs="Times New Roman" w:ascii="Times New Roman" w:hAnsi="Times New Roman"/>
          <w:b/>
          <w:sz w:val="24"/>
          <w:szCs w:val="24"/>
        </w:rPr>
        <w:t xml:space="preserve"> 5</w:t>
      </w:r>
      <w:r>
        <w:rPr>
          <w:rFonts w:eastAsia="Calibri" w:cs="Times New Roman" w:ascii="Times New Roman" w:hAnsi="Times New Roman"/>
          <w:b/>
          <w:i w:val="false"/>
          <w:iCs w:val="false"/>
          <w:sz w:val="24"/>
          <w:szCs w:val="24"/>
        </w:rPr>
        <w:t>:</w:t>
      </w:r>
    </w:p>
    <w:p>
      <w:pPr>
        <w:pStyle w:val="Normal"/>
        <w:widowControl w:val="false"/>
        <w:spacing w:before="24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i/>
          <w:iCs/>
          <w:sz w:val="24"/>
          <w:szCs w:val="24"/>
        </w:rPr>
        <w:t>Количество отклоненных заявок участников</w:t>
      </w:r>
      <w:r>
        <w:rPr>
          <w:rFonts w:cs="Times New Roman" w:ascii="Times New Roman" w:hAnsi="Times New Roman"/>
          <w:i/>
          <w:iCs/>
          <w:sz w:val="24"/>
          <w:szCs w:val="24"/>
        </w:rPr>
        <w:t>: _</w:t>
      </w:r>
      <w:r>
        <w:rPr>
          <w:rFonts w:cs="Times New Roman" w:ascii="Times New Roman" w:hAnsi="Times New Roman"/>
          <w:i/>
          <w:iCs/>
          <w:sz w:val="24"/>
          <w:szCs w:val="24"/>
          <w:lang w:val="en-US"/>
        </w:rPr>
        <w:t>4</w:t>
      </w:r>
      <w:r>
        <w:rPr>
          <w:rFonts w:cs="Times New Roman" w:ascii="Times New Roman" w:hAnsi="Times New Roman"/>
          <w:i/>
          <w:iCs/>
          <w:sz w:val="24"/>
          <w:szCs w:val="24"/>
        </w:rPr>
        <w:t>__.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09" w:leader="none"/>
        </w:tabs>
        <w:spacing w:lineRule="auto" w:line="240" w:before="113" w:after="198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Результаты открытия доступа ко вторым частям заявок на участие в аукционе:</w:t>
      </w:r>
    </w:p>
    <w:tbl>
      <w:tblPr>
        <w:tblW w:w="1031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4702"/>
        <w:gridCol w:w="4193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Рег. № заявки на ЭТП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Участник закупки</w:t>
            </w:r>
          </w:p>
        </w:tc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09" w:leader="none"/>
              </w:tabs>
              <w:spacing w:lineRule="auto" w:line="240" w:before="240" w:after="200"/>
              <w:ind w:left="0" w:hanging="0"/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Сведения заявки на участие в закупке</w:t>
            </w:r>
          </w:p>
        </w:tc>
      </w:tr>
      <w:tr>
        <w:trPr>
          <w:trHeight w:val="1128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  <w:t xml:space="preserve">ООО «ПРОФФОРМ» </w:t>
            </w: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  <w:t>(Заявка №2)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  <w:t>ИНН 6165182755, ОГРН 1136165004953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zh-CN" w:bidi="ar-SA"/>
              </w:rPr>
              <w:t>(344064, ОБЛАСТЬ РОСТОВСКАЯ, Г. РОСТОВ-НА-ДОНУ, УЛ. ТРАКТОРНАЯ, Д. 14)</w:t>
            </w:r>
          </w:p>
        </w:tc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09" w:leader="none"/>
              </w:tabs>
              <w:spacing w:lineRule="auto" w:line="240" w:before="0" w:after="0"/>
              <w:ind w:left="0" w:hanging="0"/>
              <w:outlineLvl w:val="0"/>
              <w:rPr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Дата и время поступления заявки: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09" w:leader="none"/>
              </w:tabs>
              <w:spacing w:lineRule="auto" w:line="240" w:before="0" w:after="0"/>
              <w:ind w:left="0" w:hanging="0"/>
              <w:outlineLvl w:val="0"/>
              <w:rPr/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«26» ноября 2024 года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09" w:leader="none"/>
              </w:tabs>
              <w:spacing w:lineRule="auto" w:line="240" w:before="0" w:after="0"/>
              <w:ind w:left="0" w:hanging="0"/>
              <w:outlineLvl w:val="0"/>
              <w:rPr/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13:33 (время московское)</w:t>
            </w:r>
          </w:p>
        </w:tc>
      </w:tr>
    </w:tbl>
    <w:p>
      <w:pPr>
        <w:pStyle w:val="Normal"/>
        <w:widowControl w:val="false"/>
        <w:numPr>
          <w:ilvl w:val="0"/>
          <w:numId w:val="5"/>
        </w:numPr>
        <w:spacing w:lineRule="auto" w:line="240" w:before="120" w:after="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протоколу заседания закупочной комиссии по рассмотрению вторых частей заявок от 13.12.2024г. № 32414185572/2 закупочной комиссией были</w:t>
      </w:r>
      <w:r>
        <w:rPr>
          <w:rFonts w:cs="Times New Roman" w:ascii="Times New Roman" w:hAnsi="Times New Roman"/>
          <w:i/>
          <w:i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приняты следующие решения:</w:t>
      </w:r>
    </w:p>
    <w:p>
      <w:pPr>
        <w:pStyle w:val="Normal"/>
        <w:widowControl w:val="false"/>
        <w:numPr>
          <w:ilvl w:val="1"/>
          <w:numId w:val="5"/>
        </w:numPr>
        <w:spacing w:lineRule="auto" w:line="240" w:before="120" w:after="0"/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Допустить</w:t>
      </w:r>
      <w:r>
        <w:rPr>
          <w:rFonts w:cs="Times New Roman" w:ascii="Times New Roman" w:hAnsi="Times New Roman"/>
          <w:sz w:val="24"/>
          <w:szCs w:val="24"/>
        </w:rPr>
        <w:t xml:space="preserve"> к дальнейшему участию в закупке следующих участников закупки, отвечающих требованиям закупочной документации и подавших заявки на участие в закукпке:</w:t>
      </w:r>
    </w:p>
    <w:p>
      <w:pPr>
        <w:pStyle w:val="Normal"/>
        <w:widowControl w:val="false"/>
        <w:numPr>
          <w:ilvl w:val="2"/>
          <w:numId w:val="5"/>
        </w:num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4"/>
          <w:szCs w:val="24"/>
          <w:lang w:val="ru-RU" w:eastAsia="zh-CN" w:bidi="ar-SA"/>
        </w:rPr>
        <w:t>ООО «ПРОФФОРМ»</w:t>
      </w:r>
    </w:p>
    <w:p>
      <w:pPr>
        <w:pStyle w:val="Normal"/>
        <w:widowControl w:val="false"/>
        <w:spacing w:before="113" w:after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В связи с тем, что по результатам рассмотрения заявок принято решение о допуске только одного участника закупки, в соответствии с подпунктом б) пункта 1.2 части 1 статьи 6.4 ЕОСЗ закупка признана несостоявшейся.</w:t>
      </w:r>
    </w:p>
    <w:p>
      <w:pPr>
        <w:pStyle w:val="Normal"/>
        <w:widowControl w:val="false"/>
        <w:spacing w:before="113" w:after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 xml:space="preserve">Заказчиком принято решение о заключении договора с единственным участником закупки 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4"/>
          <w:szCs w:val="24"/>
          <w:lang w:val="ru-RU" w:eastAsia="zh-CN" w:bidi="ar-SA"/>
        </w:rPr>
        <w:t>ООО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 xml:space="preserve"> «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4"/>
          <w:szCs w:val="24"/>
          <w:lang w:val="ru-RU" w:eastAsia="zh-CN" w:bidi="ar-SA"/>
        </w:rPr>
        <w:t>ПРОФФОРМ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» (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4"/>
          <w:szCs w:val="24"/>
          <w:lang w:val="ru-RU" w:eastAsia="zh-CN" w:bidi="ar-SA"/>
        </w:rPr>
        <w:t>Заявка №2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 xml:space="preserve">) 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4"/>
          <w:szCs w:val="24"/>
          <w:lang w:val="ru-RU" w:eastAsia="zh-CN" w:bidi="ar-SA"/>
        </w:rPr>
        <w:t>ИНН 6165182755, ОГРН 1136165004953 (344064, ОБЛАСТЬ РОСТОВСКАЯ, Г. РОСТОВ-НА-ДОНУ, УЛ. ТРАКТОРНАЯ, Д. 14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), по цене, в объеме и на условиях, указанных единственным участником в его заявке, или на лучших для заказчика условиях, достигнутых по результатам преддоговорных переговоров.</w:t>
      </w:r>
    </w:p>
    <w:p>
      <w:pPr>
        <w:pStyle w:val="Normal"/>
        <w:widowControl w:val="false"/>
        <w:spacing w:lineRule="auto" w:line="240" w:before="113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>
      <w:pPr>
        <w:pStyle w:val="Normal"/>
        <w:widowControl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«за» – __9__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widowControl w:val="fals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«против» – __0___ голоса</w:t>
      </w:r>
      <w:r>
        <w:rPr>
          <w:rFonts w:cs="Times New Roman" w:ascii="Times New Roman" w:hAnsi="Times New Roman"/>
          <w:b/>
          <w:i/>
          <w:sz w:val="24"/>
          <w:szCs w:val="24"/>
        </w:rPr>
        <w:t>/-ов</w:t>
      </w:r>
      <w:r>
        <w:rPr>
          <w:rFonts w:cs="Times New Roman" w:ascii="Times New Roman" w:hAnsi="Times New Roman"/>
          <w:sz w:val="24"/>
          <w:szCs w:val="24"/>
        </w:rPr>
        <w:t xml:space="preserve">;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«воздержался» – __0__ голоса</w:t>
      </w:r>
      <w:r>
        <w:rPr>
          <w:rFonts w:eastAsia="Times New Roman" w:cs="Times New Roman" w:ascii="Times New Roman" w:hAnsi="Times New Roman"/>
          <w:b/>
          <w:i/>
          <w:color w:val="auto"/>
          <w:kern w:val="0"/>
          <w:sz w:val="24"/>
          <w:szCs w:val="24"/>
          <w:lang w:val="ru-RU" w:eastAsia="zh-CN" w:bidi="ar-SA"/>
        </w:rPr>
        <w:t>/-ов</w:t>
      </w:r>
      <w:r>
        <w:br w:type="page"/>
      </w:r>
    </w:p>
    <w:p>
      <w:pPr>
        <w:pStyle w:val="Normal"/>
        <w:widowControl w:val="false"/>
        <w:tabs>
          <w:tab w:val="clear" w:pos="708"/>
          <w:tab w:val="left" w:pos="567" w:leader="none"/>
        </w:tabs>
        <w:spacing w:before="120" w:after="12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  <w:u w:val="single"/>
        </w:rPr>
        <w:t xml:space="preserve">Закупочная комиссия: </w:t>
      </w:r>
    </w:p>
    <w:p>
      <w:pPr>
        <w:pStyle w:val="Normal"/>
        <w:ind w:left="0" w:right="0" w:firstLine="56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подтверждает объективность принимаемых решений;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заявляет об отсутствии личной заинтересованности в исходе закупки;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принимает на себя обязательства:</w:t>
      </w:r>
    </w:p>
    <w:p>
      <w:pPr>
        <w:pStyle w:val="Normal"/>
        <w:ind w:left="0" w:right="0" w:firstLine="56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ind w:left="0" w:right="0" w:firstLine="567"/>
        <w:rPr>
          <w:rFonts w:ascii="Times New Roman" w:hAnsi="Times New Roman" w:eastAsia="Times New Roman" w:cs="Times New Roman"/>
          <w:color w:val="auto"/>
          <w:sz w:val="20"/>
          <w:szCs w:val="20"/>
          <w:lang w:val="ru-RU" w:bidi="ar-SA"/>
        </w:rPr>
      </w:pPr>
      <w:r>
        <w:rPr>
          <w:rFonts w:cs="Times New Roman" w:ascii="Times New Roman" w:hAnsi="Times New Roman"/>
          <w:sz w:val="20"/>
          <w:szCs w:val="20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ind w:left="0" w:right="0" w:firstLine="567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eastAsia="Times New Roman" w:cs="Times New Roman" w:ascii="Times New Roman" w:hAnsi="Times New Roman"/>
          <w:color w:val="auto"/>
          <w:sz w:val="20"/>
          <w:szCs w:val="20"/>
          <w:lang w:val="ru-RU" w:bidi="ar-SA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2" w:type="dxa"/>
          <w:bottom w:w="0" w:type="dxa"/>
          <w:right w:w="12" w:type="dxa"/>
        </w:tblCellMar>
      </w:tblPr>
      <w:tblGrid>
        <w:gridCol w:w="2508"/>
        <w:gridCol w:w="5585"/>
        <w:gridCol w:w="1942"/>
      </w:tblGrid>
      <w:tr>
        <w:trPr/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А.Ю. Марков</w:t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Заместитель генерального директора предприятия по материально-техническому снабжению и комплектации оборудования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Члены закупочной комиссии:</w:t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b/>
                <w:bCs/>
              </w:rPr>
              <w:t xml:space="preserve">Секретарь закупочной комиссии (с </w:t>
            </w:r>
            <w:r>
              <w:rPr>
                <w:rFonts w:cs="Times New Roman" w:ascii="Times New Roman" w:hAnsi="Times New Roman"/>
                <w:b/>
                <w:i/>
              </w:rPr>
              <w:t>правом голоса</w:t>
            </w:r>
            <w:r>
              <w:rPr>
                <w:rFonts w:cs="Times New Roman" w:ascii="Times New Roman" w:hAnsi="Times New Roman"/>
                <w:b/>
                <w:bCs/>
              </w:rPr>
              <w:t>):</w:t>
            </w:r>
          </w:p>
        </w:tc>
      </w:tr>
      <w:tr>
        <w:trPr>
          <w:trHeight w:val="567" w:hRule="atLeast"/>
        </w:trPr>
        <w:tc>
          <w:tcPr>
            <w:tcW w:w="250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А.Л. Лебедева</w:t>
            </w:r>
          </w:p>
        </w:tc>
        <w:tc>
          <w:tcPr>
            <w:tcW w:w="5585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</w:rPr>
              <w:t>Эксперт по закупкам группы сопровождения закупочных процедур (собственные и внебюджетные средства) отдела закупок</w:t>
            </w:r>
          </w:p>
        </w:tc>
        <w:tc>
          <w:tcPr>
            <w:tcW w:w="1942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keepLines w:val="false"/>
        <w:widowControl w:val="false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Юрисконсульт отдела закупок _________________ Н.Н.Ридфинс</w:t>
      </w:r>
    </w:p>
    <w:p>
      <w:pPr>
        <w:pStyle w:val="Normal"/>
        <w:keepLines w:val="false"/>
        <w:widowControl w:val="false"/>
        <w:spacing w:before="170" w:after="0"/>
        <w:rPr/>
      </w:pPr>
      <w:r>
        <w:rPr>
          <w:rFonts w:eastAsia="Calibri" w:cs="Times New Roman" w:ascii="Times New Roman" w:hAnsi="Times New Roman"/>
        </w:rPr>
        <w:t>Специалист отдела закупок  ____________Хмелевская М.М.</w:t>
      </w:r>
    </w:p>
    <w:sectPr>
      <w:footerReference w:type="default" r:id="rId5"/>
      <w:type w:val="nextPage"/>
      <w:pgSz w:w="11906" w:h="16838"/>
      <w:pgMar w:left="1134" w:right="737" w:gutter="0" w:header="0" w:top="709" w:footer="467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Arial (WT)">
    <w:altName w:val="Arial"/>
    <w:charset w:val="01"/>
    <w:family w:val="roman"/>
    <w:pitch w:val="default"/>
  </w:font>
  <w:font w:name="Tahoma">
    <w:charset w:val="01"/>
    <w:family w:val="roman"/>
    <w:pitch w:val="default"/>
  </w:font>
  <w:font w:name="Book Antiqua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 w:cs="Times New Roman"/>
        <w:color w:val="auto"/>
        <w:kern w:val="0"/>
        <w:sz w:val="18"/>
        <w:szCs w:val="18"/>
        <w:lang w:val="ru-RU" w:eastAsia="zh-CN" w:bidi="ar-SA"/>
      </w:rPr>
    </w:pPr>
    <w:r>
      <w:rPr>
        <w:rFonts w:eastAsia="Times New Roman" w:cs="Times New Roman" w:ascii="Times New Roman" w:hAnsi="Times New Roman"/>
        <w:color w:val="auto"/>
        <w:kern w:val="0"/>
        <w:sz w:val="18"/>
        <w:szCs w:val="18"/>
        <w:lang w:val="ru-RU" w:eastAsia="zh-CN" w:bidi="ar-SA"/>
      </w:rPr>
      <w:t>ПРОТОКОЛ № 32414185572/3</w:t>
    </w:r>
  </w:p>
  <w:p>
    <w:pPr>
      <w:pStyle w:val="Normal"/>
      <w:widowControl w:val="false"/>
      <w:numPr>
        <w:ilvl w:val="0"/>
        <w:numId w:val="0"/>
      </w:numPr>
      <w:ind w:left="0" w:hanging="0"/>
      <w:jc w:val="center"/>
      <w:outlineLvl w:val="0"/>
      <w:rPr>
        <w:rFonts w:ascii="Times New Roman" w:hAnsi="Times New Roman" w:eastAsia="Times New Roman" w:cs="Times New Roman"/>
        <w:color w:val="auto"/>
        <w:kern w:val="0"/>
        <w:sz w:val="18"/>
        <w:szCs w:val="18"/>
        <w:lang w:val="ru-RU" w:eastAsia="zh-CN" w:bidi="ar-SA"/>
      </w:rPr>
    </w:pPr>
    <w:r>
      <w:rPr>
        <w:rFonts w:eastAsia="Times New Roman" w:cs="Times New Roman" w:ascii="Times New Roman" w:hAnsi="Times New Roman"/>
        <w:color w:val="auto"/>
        <w:kern w:val="0"/>
        <w:sz w:val="18"/>
        <w:szCs w:val="18"/>
        <w:lang w:val="ru-RU" w:eastAsia="zh-CN" w:bidi="ar-SA"/>
      </w:rPr>
      <w:t>заседания закупочной комиссии по подведению итогов в открытом аукционе (итоговый протокол) в электронной форме на право заключения договора на поставку летней специальной одежды, специальной обуви и других средств индивидуальной защиты</w:t>
    </w:r>
  </w:p>
  <w:p>
    <w:pPr>
      <w:pStyle w:val="Style31"/>
      <w:jc w:val="center"/>
      <w:rPr/>
    </w:pPr>
    <w:r>
      <w:rPr>
        <w:rFonts w:cs="Times New Roman" w:ascii="Times New Roman" w:hAnsi="Times New Roman"/>
        <w:sz w:val="18"/>
        <w:szCs w:val="18"/>
      </w:rPr>
      <w:t xml:space="preserve">Страница </w:t>
    </w:r>
    <w:r>
      <w:rPr>
        <w:rFonts w:cs="Times New Roman" w:ascii="Times New Roman" w:hAnsi="Times New Roman"/>
        <w:bCs/>
        <w:sz w:val="18"/>
        <w:szCs w:val="18"/>
      </w:rPr>
      <w:fldChar w:fldCharType="begin"/>
    </w:r>
    <w:r>
      <w:rPr>
        <w:sz w:val="18"/>
        <w:szCs w:val="18"/>
        <w:bCs/>
        <w:rFonts w:cs="Times New Roman" w:ascii="Times New Roman" w:hAnsi="Times New Roman"/>
      </w:rPr>
      <w:instrText xml:space="preserve"> PAGE </w:instrText>
    </w:r>
    <w:r>
      <w:rPr>
        <w:sz w:val="18"/>
        <w:szCs w:val="18"/>
        <w:bCs/>
        <w:rFonts w:cs="Times New Roman" w:ascii="Times New Roman" w:hAnsi="Times New Roman"/>
      </w:rPr>
      <w:fldChar w:fldCharType="separate"/>
    </w:r>
    <w:r>
      <w:rPr>
        <w:sz w:val="18"/>
        <w:szCs w:val="18"/>
        <w:bCs/>
        <w:rFonts w:cs="Times New Roman" w:ascii="Times New Roman" w:hAnsi="Times New Roman"/>
      </w:rPr>
      <w:t>4</w:t>
    </w:r>
    <w:r>
      <w:rPr>
        <w:sz w:val="18"/>
        <w:szCs w:val="18"/>
        <w:bCs/>
        <w:rFonts w:cs="Times New Roman" w:ascii="Times New Roman" w:hAnsi="Times New Roman"/>
      </w:rPr>
      <w:fldChar w:fldCharType="end"/>
    </w:r>
    <w:r>
      <w:rPr>
        <w:rFonts w:cs="Times New Roman" w:ascii="Times New Roman" w:hAnsi="Times New Roman"/>
        <w:sz w:val="18"/>
        <w:szCs w:val="18"/>
      </w:rPr>
      <w:t xml:space="preserve"> из </w:t>
    </w:r>
    <w:r>
      <w:rPr>
        <w:rFonts w:cs="Times New Roman" w:ascii="Times New Roman" w:hAnsi="Times New Roman"/>
        <w:bCs/>
        <w:sz w:val="18"/>
        <w:szCs w:val="18"/>
      </w:rPr>
      <w:fldChar w:fldCharType="begin"/>
    </w:r>
    <w:r>
      <w:rPr>
        <w:sz w:val="18"/>
        <w:szCs w:val="18"/>
        <w:bCs/>
        <w:rFonts w:cs="Times New Roman" w:ascii="Times New Roman" w:hAnsi="Times New Roman"/>
      </w:rPr>
      <w:instrText xml:space="preserve"> NUMPAGES </w:instrText>
    </w:r>
    <w:r>
      <w:rPr>
        <w:sz w:val="18"/>
        <w:szCs w:val="18"/>
        <w:bCs/>
        <w:rFonts w:cs="Times New Roman" w:ascii="Times New Roman" w:hAnsi="Times New Roman"/>
      </w:rPr>
      <w:fldChar w:fldCharType="separate"/>
    </w:r>
    <w:r>
      <w:rPr>
        <w:sz w:val="18"/>
        <w:szCs w:val="18"/>
        <w:bCs/>
        <w:rFonts w:cs="Times New Roman" w:ascii="Times New Roman" w:hAnsi="Times New Roman"/>
      </w:rPr>
      <w:t>6</w:t>
    </w:r>
    <w:r>
      <w:rPr>
        <w:sz w:val="18"/>
        <w:szCs w:val="18"/>
        <w:bCs/>
        <w:rFonts w:cs="Times New Roman"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/>
        <w:kern w:val="0"/>
        <w:iCs w:val="false"/>
        <w:bCs w:val="false"/>
        <w:em w:val="none"/>
        <w:vanish w:val="false"/>
        <w:rFonts w:cs="Times New Roman"/>
      </w:rPr>
    </w:lvl>
    <w:lvl w:ilvl="1">
      <w:start w:val="1"/>
      <w:pStyle w:val="2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/>
        <w:kern w:val="0"/>
        <w:szCs w:val="28"/>
        <w:iCs w:val="false"/>
        <w:bCs/>
        <w:w w:val="100"/>
        <w:vanish w:val="false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 w:val="false"/>
        <w:kern w:val="0"/>
        <w:szCs w:val="28"/>
        <w:iCs w:val="false"/>
        <w:bCs w:val="false"/>
        <w:w w:val="100"/>
        <w:vanish w:val="false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/>
        <w:kern w:val="0"/>
        <w:iCs w:val="false"/>
        <w:bCs w:val="false"/>
        <w:em w:val="none"/>
        <w:vanish w:val="false"/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/>
        <w:kern w:val="0"/>
        <w:szCs w:val="28"/>
        <w:iCs w:val="false"/>
        <w:bCs/>
        <w:w w:val="100"/>
        <w:vanish w:val="false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shadow w:val="false"/>
        <w:u w:val="none"/>
        <w:b w:val="false"/>
        <w:kern w:val="0"/>
        <w:szCs w:val="28"/>
        <w:iCs w:val="false"/>
        <w:bCs w:val="false"/>
        <w:w w:val="100"/>
        <w:vanish w:val="false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00" w:hanging="720"/>
      </w:pPr>
      <w:rPr>
        <w:sz w:val="24"/>
        <w:b w:val="false"/>
        <w:szCs w:val="24"/>
        <w:bCs w:val="false"/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sz w:val="24"/>
        <w:szCs w:val="24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sz w:val="24"/>
        <w:szCs w:val="24"/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sz w:val="24"/>
        <w:szCs w:val="24"/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sz w:val="24"/>
        <w:szCs w:val="24"/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920" w:hanging="1440"/>
      </w:pPr>
      <w:rPr>
        <w:sz w:val="24"/>
        <w:szCs w:val="24"/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sz w:val="24"/>
        <w:szCs w:val="24"/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sz w:val="24"/>
        <w:szCs w:val="24"/>
        <w:rFonts w:ascii="Times New Roman" w:hAnsi="Times New Roman" w:cs="Times New Roman"/>
      </w:rPr>
    </w:lvl>
  </w:abstractNum>
  <w:abstractNum w:abstractNumId="5"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b w:val="false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11" w:hanging="540"/>
      </w:pPr>
      <w:rPr>
        <w:b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933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36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3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6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37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8" w:hanging="1800"/>
      </w:pPr>
      <w:rPr>
        <w:b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jc w:val="left"/>
      <w:outlineLvl w:val="0"/>
    </w:pPr>
    <w:rPr>
      <w:rFonts w:ascii="Times New Roman" w:hAnsi="Times New Roman" w:cs="Times New Roman"/>
      <w:b/>
      <w:bCs/>
      <w:kern w:val="2"/>
      <w:sz w:val="28"/>
      <w:szCs w:val="40"/>
      <w:lang w:val="ru-RU"/>
    </w:rPr>
  </w:style>
  <w:style w:type="paragraph" w:styleId="2">
    <w:name w:val="Heading 2"/>
    <w:basedOn w:val="Normal"/>
    <w:next w:val="-3"/>
    <w:qFormat/>
    <w:pPr>
      <w:keepNext w:val="true"/>
      <w:keepLines w:val="false"/>
      <w:numPr>
        <w:ilvl w:val="1"/>
        <w:numId w:val="1"/>
      </w:numPr>
      <w:suppressAutoHyphens w:val="true"/>
      <w:jc w:val="left"/>
      <w:outlineLvl w:val="1"/>
    </w:pPr>
    <w:rPr>
      <w:rFonts w:ascii="Times New Roman" w:hAnsi="Times New Roman" w:cs="Times New Roman"/>
      <w:b/>
      <w:bCs/>
      <w:sz w:val="28"/>
      <w:szCs w:val="32"/>
      <w:lang w:val="ru-RU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b/>
      <w:bCs/>
      <w:sz w:val="28"/>
      <w:szCs w:val="26"/>
      <w:lang w:val="ru-RU"/>
    </w:rPr>
  </w:style>
  <w:style w:type="character" w:styleId="WW8Num1z0">
    <w:name w:val="WW8Num1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1">
    <w:name w:val="WW8Num1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1z2">
    <w:name w:val="WW8Num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3">
    <w:name w:val="WW8Num1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1z4">
    <w:name w:val="WW8Num1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1z5">
    <w:name w:val="WW8Num1z5"/>
    <w:qFormat/>
    <w:rPr/>
  </w:style>
  <w:style w:type="character" w:styleId="WW8Num2z0">
    <w:name w:val="WW8Num2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1">
    <w:name w:val="WW8Num2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z2">
    <w:name w:val="WW8Num2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3">
    <w:name w:val="WW8Num2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z4">
    <w:name w:val="WW8Num2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z5">
    <w:name w:val="WW8Num2z5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4z1">
    <w:name w:val="WW8Num4z1"/>
    <w:qFormat/>
    <w:rPr>
      <w:rFonts w:ascii="Times New Roman" w:hAnsi="Times New Roman" w:eastAsia="Calibri" w:cs="Times New Roman"/>
      <w:sz w:val="24"/>
      <w:szCs w:val="24"/>
    </w:rPr>
  </w:style>
  <w:style w:type="character" w:styleId="WW8Num4z2">
    <w:name w:val="WW8Num4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4z3">
    <w:name w:val="WW8Num4z3"/>
    <w:qFormat/>
    <w:rPr>
      <w:rFonts w:ascii="Times New Roman" w:hAnsi="Times New Roman" w:eastAsia="Calibri" w:cs="Times New Roman"/>
      <w:sz w:val="28"/>
    </w:rPr>
  </w:style>
  <w:style w:type="character" w:styleId="WW8Num5z0">
    <w:name w:val="WW8Num5z0"/>
    <w:qFormat/>
    <w:rPr>
      <w:rFonts w:ascii="Symbol" w:hAnsi="Symbol" w:cs="Symbol"/>
      <w:sz w:val="20"/>
      <w:szCs w:val="20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1">
    <w:name w:val="WW8Num6z1"/>
    <w:qFormat/>
    <w:rPr>
      <w:rFonts w:ascii="Times New Roman" w:hAnsi="Times New Roman" w:eastAsia="Calibri" w:cs="Times New Roman"/>
      <w:sz w:val="24"/>
      <w:szCs w:val="24"/>
    </w:rPr>
  </w:style>
  <w:style w:type="character" w:styleId="WW8Num6z2">
    <w:name w:val="WW8Num6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6z3">
    <w:name w:val="WW8Num6z3"/>
    <w:qFormat/>
    <w:rPr>
      <w:rFonts w:ascii="Times New Roman" w:hAnsi="Times New Roman" w:eastAsia="Calibri" w:cs="Times New Roman"/>
      <w:sz w:val="28"/>
    </w:rPr>
  </w:style>
  <w:style w:type="character" w:styleId="WW8Num7z0">
    <w:name w:val="WW8Num7z0"/>
    <w:qFormat/>
    <w:rPr>
      <w:rFonts w:ascii="Symbol" w:hAnsi="Symbol" w:cs="Symbol"/>
      <w:sz w:val="20"/>
      <w:szCs w:val="20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9z0">
    <w:name w:val="WW8Num9z0"/>
    <w:qFormat/>
    <w:rPr>
      <w:rFonts w:ascii="Symbol" w:hAnsi="Symbol" w:cs="Symbol"/>
      <w:sz w:val="20"/>
      <w:szCs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/>
  </w:style>
  <w:style w:type="character" w:styleId="WW8Num12z0">
    <w:name w:val="WW8Num12z0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>
      <w:rFonts w:ascii="Times New Roman" w:hAnsi="Times New Roman" w:eastAsia="Calibri" w:cs="Times New Roman"/>
      <w:sz w:val="24"/>
      <w:szCs w:val="24"/>
    </w:rPr>
  </w:style>
  <w:style w:type="character" w:styleId="WW8Num13z2">
    <w:name w:val="WW8Num13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13z3">
    <w:name w:val="WW8Num13z3"/>
    <w:qFormat/>
    <w:rPr>
      <w:rFonts w:ascii="Times New Roman" w:hAnsi="Times New Roman" w:eastAsia="Calibri" w:cs="Times New Roman"/>
      <w:sz w:val="28"/>
    </w:rPr>
  </w:style>
  <w:style w:type="character" w:styleId="WW8Num14z0">
    <w:name w:val="WW8Num14z0"/>
    <w:qFormat/>
    <w:rPr>
      <w:b w:val="false"/>
    </w:rPr>
  </w:style>
  <w:style w:type="character" w:styleId="WW8Num14z1">
    <w:name w:val="WW8Num14z1"/>
    <w:qFormat/>
    <w:rPr/>
  </w:style>
  <w:style w:type="character" w:styleId="WW8Num15z0">
    <w:name w:val="WW8Num15z0"/>
    <w:qFormat/>
    <w:rPr>
      <w:rFonts w:ascii="Symbol" w:hAnsi="Symbol" w:cs="Symbol"/>
      <w:sz w:val="20"/>
      <w:szCs w:val="20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Times New Roman" w:hAnsi="Times New Roman" w:eastAsia="Times New Roman" w:cs="Times New Roman"/>
      <w:b w:val="false"/>
      <w:sz w:val="28"/>
      <w:szCs w:val="28"/>
    </w:rPr>
  </w:style>
  <w:style w:type="character" w:styleId="WW8Num16z1">
    <w:name w:val="WW8Num16z1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>
      <w:b w:val="false"/>
      <w:i w:val="false"/>
      <w:sz w:val="28"/>
      <w:szCs w:val="28"/>
    </w:rPr>
  </w:style>
  <w:style w:type="character" w:styleId="WW8Num17z2">
    <w:name w:val="WW8Num17z2"/>
    <w:qFormat/>
    <w:rPr>
      <w:rFonts w:ascii="Times New Roman" w:hAnsi="Times New Roman" w:cs="Times New Roman"/>
      <w:b w:val="false"/>
      <w:i w:val="false"/>
      <w:sz w:val="28"/>
      <w:szCs w:val="28"/>
    </w:rPr>
  </w:style>
  <w:style w:type="character" w:styleId="WW8Num17z3">
    <w:name w:val="WW8Num17z3"/>
    <w:qFormat/>
    <w:rPr>
      <w:sz w:val="28"/>
      <w:szCs w:val="28"/>
    </w:rPr>
  </w:style>
  <w:style w:type="character" w:styleId="WW8Num18z0">
    <w:name w:val="WW8Num18z0"/>
    <w:qFormat/>
    <w:rPr/>
  </w:style>
  <w:style w:type="character" w:styleId="WW8Num19z0">
    <w:name w:val="WW8Num19z0"/>
    <w:qFormat/>
    <w:rPr>
      <w:b/>
    </w:rPr>
  </w:style>
  <w:style w:type="character" w:styleId="WW8Num19z3">
    <w:name w:val="WW8Num19z3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>
      <w:rFonts w:ascii="Times New Roman" w:hAnsi="Times New Roman" w:eastAsia="Calibri" w:cs="Times New Roman"/>
      <w:sz w:val="28"/>
    </w:rPr>
  </w:style>
  <w:style w:type="character" w:styleId="WW8Num21z0">
    <w:name w:val="WW8Num21z0"/>
    <w:qFormat/>
    <w:rPr>
      <w:rFonts w:cs="Times New Roman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1">
    <w:name w:val="WW8Num21z1"/>
    <w:qFormat/>
    <w:rPr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1z2">
    <w:name w:val="WW8Num2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3">
    <w:name w:val="WW8Num21z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spacing w:val="0"/>
      <w:w w:val="100"/>
      <w:kern w:val="0"/>
      <w:position w:val="0"/>
      <w:sz w:val="28"/>
      <w:sz w:val="28"/>
      <w:szCs w:val="28"/>
      <w:u w:val="none"/>
      <w:vertAlign w:val="baseline"/>
    </w:rPr>
  </w:style>
  <w:style w:type="character" w:styleId="WW8Num21z4">
    <w:name w:val="WW8Num21z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sz w:val="24"/>
      <w:u w:val="none"/>
      <w:vertAlign w:val="baseline"/>
      <w:em w:val="none"/>
    </w:rPr>
  </w:style>
  <w:style w:type="character" w:styleId="WW8Num21z5">
    <w:name w:val="WW8Num21z5"/>
    <w:qFormat/>
    <w:rPr/>
  </w:style>
  <w:style w:type="character" w:styleId="WW8Num22z0">
    <w:name w:val="WW8Num22z0"/>
    <w:qFormat/>
    <w:rPr>
      <w:color w:val="000000"/>
    </w:rPr>
  </w:style>
  <w:style w:type="character" w:styleId="WW8Num23z0">
    <w:name w:val="WW8Num23z0"/>
    <w:qFormat/>
    <w:rPr>
      <w:rFonts w:ascii="Symbol" w:hAnsi="Symbol" w:cs="Symbol"/>
      <w:sz w:val="20"/>
    </w:rPr>
  </w:style>
  <w:style w:type="character" w:styleId="WW8Num23z1">
    <w:name w:val="WW8Num23z1"/>
    <w:qFormat/>
    <w:rPr>
      <w:rFonts w:ascii="Courier New" w:hAnsi="Courier New" w:cs="Courier New"/>
      <w:sz w:val="20"/>
    </w:rPr>
  </w:style>
  <w:style w:type="character" w:styleId="WW8Num23z2">
    <w:name w:val="WW8Num23z2"/>
    <w:qFormat/>
    <w:rPr>
      <w:rFonts w:ascii="Wingdings" w:hAnsi="Wingdings" w:cs="Wingdings"/>
      <w:sz w:val="20"/>
    </w:rPr>
  </w:style>
  <w:style w:type="character" w:styleId="WW8Num24z0">
    <w:name w:val="WW8Num24z0"/>
    <w:qFormat/>
    <w:rPr/>
  </w:style>
  <w:style w:type="character" w:styleId="WW8Num24z1">
    <w:name w:val="WW8Num24z1"/>
    <w:qFormat/>
    <w:rPr>
      <w:rFonts w:eastAsia="Times New Roman"/>
    </w:rPr>
  </w:style>
  <w:style w:type="character" w:styleId="WW8Num25z1">
    <w:name w:val="WW8Num25z1"/>
    <w:qFormat/>
    <w:rPr>
      <w:rFonts w:ascii="Times New Roman" w:hAnsi="Times New Roman" w:eastAsia="Calibri" w:cs="Times New Roman"/>
      <w:sz w:val="24"/>
      <w:szCs w:val="24"/>
    </w:rPr>
  </w:style>
  <w:style w:type="character" w:styleId="WW8Num25z2">
    <w:name w:val="WW8Num25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25z3">
    <w:name w:val="WW8Num25z3"/>
    <w:qFormat/>
    <w:rPr>
      <w:rFonts w:ascii="Times New Roman" w:hAnsi="Times New Roman" w:eastAsia="Calibri" w:cs="Times New Roman"/>
      <w:sz w:val="28"/>
    </w:rPr>
  </w:style>
  <w:style w:type="character" w:styleId="WW8Num26z0">
    <w:name w:val="WW8Num26z0"/>
    <w:qFormat/>
    <w:rPr>
      <w:rFonts w:ascii="Symbol" w:hAnsi="Symbol" w:cs="Symbol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7z0">
    <w:name w:val="WW8Num27z0"/>
    <w:qFormat/>
    <w:rPr>
      <w:b/>
    </w:rPr>
  </w:style>
  <w:style w:type="character" w:styleId="WW8Num27z2">
    <w:name w:val="WW8Num27z2"/>
    <w:qFormat/>
    <w:rPr>
      <w:b/>
      <w:i w:val="false"/>
    </w:rPr>
  </w:style>
  <w:style w:type="character" w:styleId="WW8Num28z0">
    <w:name w:val="WW8Num28z0"/>
    <w:qFormat/>
    <w:rPr>
      <w:rFonts w:ascii="Symbol" w:hAnsi="Symbol" w:cs="Symbol"/>
    </w:rPr>
  </w:style>
  <w:style w:type="character" w:styleId="WW8Num29z0">
    <w:name w:val="WW8Num29z0"/>
    <w:qFormat/>
    <w:rPr>
      <w:rFonts w:ascii="Symbol" w:hAnsi="Symbol" w:cs="Symbol"/>
      <w:sz w:val="20"/>
    </w:rPr>
  </w:style>
  <w:style w:type="character" w:styleId="WW8Num29z1">
    <w:name w:val="WW8Num29z1"/>
    <w:qFormat/>
    <w:rPr>
      <w:rFonts w:ascii="Courier New" w:hAnsi="Courier New" w:cs="Courier New"/>
      <w:sz w:val="20"/>
    </w:rPr>
  </w:style>
  <w:style w:type="character" w:styleId="WW8Num29z2">
    <w:name w:val="WW8Num29z2"/>
    <w:qFormat/>
    <w:rPr>
      <w:rFonts w:ascii="Wingdings" w:hAnsi="Wingdings" w:cs="Wingdings"/>
      <w:sz w:val="20"/>
    </w:rPr>
  </w:style>
  <w:style w:type="character" w:styleId="WW8Num30z0">
    <w:name w:val="WW8Num30z0"/>
    <w:qFormat/>
    <w:rPr>
      <w:rFonts w:ascii="Times New Roman" w:hAnsi="Times New Roman" w:cs="Times New Roman"/>
      <w:sz w:val="24"/>
      <w:szCs w:val="24"/>
    </w:rPr>
  </w:style>
  <w:style w:type="character" w:styleId="WW8Num30z1">
    <w:name w:val="WW8Num30z1"/>
    <w:qFormat/>
    <w:rPr>
      <w:rFonts w:ascii="Times New Roman" w:hAnsi="Times New Roman" w:cs="Times New Roman"/>
      <w:sz w:val="24"/>
      <w:szCs w:val="24"/>
    </w:rPr>
  </w:style>
  <w:style w:type="character" w:styleId="WW8Num31z1">
    <w:name w:val="WW8Num31z1"/>
    <w:qFormat/>
    <w:rPr>
      <w:rFonts w:ascii="Times New Roman" w:hAnsi="Times New Roman" w:eastAsia="Calibri" w:cs="Times New Roman"/>
      <w:sz w:val="24"/>
      <w:szCs w:val="24"/>
    </w:rPr>
  </w:style>
  <w:style w:type="character" w:styleId="WW8Num31z2">
    <w:name w:val="WW8Num31z2"/>
    <w:qFormat/>
    <w:rPr>
      <w:rFonts w:ascii="Times New Roman" w:hAnsi="Times New Roman" w:eastAsia="Calibri" w:cs="Times New Roman"/>
      <w:b w:val="false"/>
      <w:sz w:val="24"/>
      <w:szCs w:val="24"/>
    </w:rPr>
  </w:style>
  <w:style w:type="character" w:styleId="WW8Num31z3">
    <w:name w:val="WW8Num31z3"/>
    <w:qFormat/>
    <w:rPr>
      <w:rFonts w:ascii="Times New Roman" w:hAnsi="Times New Roman" w:eastAsia="Calibri" w:cs="Times New Roman"/>
      <w:sz w:val="28"/>
    </w:rPr>
  </w:style>
  <w:style w:type="character" w:styleId="WW8Num32z0">
    <w:name w:val="WW8Num32z0"/>
    <w:qFormat/>
    <w:rPr>
      <w:rFonts w:ascii="Arial (WT);Arial" w:hAnsi="Arial (WT);Arial" w:cs="Arial (WT);Aria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WW8Num33z1">
    <w:name w:val="WW8Num33z1"/>
    <w:qFormat/>
    <w:rPr>
      <w:rFonts w:ascii="Times New Roman" w:hAnsi="Times New Roman" w:cs="Times New Roman"/>
      <w:sz w:val="28"/>
      <w:szCs w:val="28"/>
    </w:rPr>
  </w:style>
  <w:style w:type="character" w:styleId="Style11">
    <w:name w:val="Основной шрифт абзаца"/>
    <w:qFormat/>
    <w:rPr/>
  </w:style>
  <w:style w:type="character" w:styleId="-">
    <w:name w:val="Hyperlink"/>
    <w:rPr>
      <w:strike w:val="false"/>
      <w:dstrike w:val="false"/>
      <w:color w:val="0063A4"/>
      <w:u w:val="none"/>
    </w:rPr>
  </w:style>
  <w:style w:type="character" w:styleId="Style12">
    <w:name w:val="FollowedHyperlink"/>
    <w:rPr>
      <w:color w:val="800080"/>
      <w:u w:val="single"/>
    </w:rPr>
  </w:style>
  <w:style w:type="character" w:styleId="31">
    <w:name w:val="Заголовок 3 Знак"/>
    <w:qFormat/>
    <w:rPr>
      <w:rFonts w:ascii="Arial" w:hAnsi="Arial" w:eastAsia="Times New Roman" w:cs="Arial"/>
      <w:b/>
      <w:bCs/>
      <w:sz w:val="28"/>
      <w:szCs w:val="26"/>
    </w:rPr>
  </w:style>
  <w:style w:type="character" w:styleId="Style13">
    <w:name w:val="Текст примечания Знак"/>
    <w:qFormat/>
    <w:rPr>
      <w:rFonts w:ascii="Arial" w:hAnsi="Arial" w:eastAsia="Times New Roman" w:cs="Times New Roman"/>
      <w:sz w:val="20"/>
      <w:szCs w:val="20"/>
    </w:rPr>
  </w:style>
  <w:style w:type="character" w:styleId="Style14">
    <w:name w:val="Верхний колонтитул Знак"/>
    <w:qFormat/>
    <w:rPr>
      <w:rFonts w:ascii="Arial" w:hAnsi="Arial" w:eastAsia="Times New Roman" w:cs="Times New Roman"/>
      <w:sz w:val="24"/>
      <w:szCs w:val="24"/>
    </w:rPr>
  </w:style>
  <w:style w:type="character" w:styleId="Style15">
    <w:name w:val="Нижний колонтитул Знак"/>
    <w:qFormat/>
    <w:rPr>
      <w:rFonts w:ascii="Arial" w:hAnsi="Arial" w:eastAsia="Times New Roman" w:cs="Times New Roman"/>
      <w:sz w:val="24"/>
      <w:szCs w:val="24"/>
    </w:rPr>
  </w:style>
  <w:style w:type="character" w:styleId="Style16">
    <w:name w:val="Основной текст Знак"/>
    <w:qFormat/>
    <w:rPr>
      <w:rFonts w:ascii="Arial" w:hAnsi="Arial" w:eastAsia="Times New Roman" w:cs="Times New Roman"/>
      <w:sz w:val="24"/>
      <w:szCs w:val="24"/>
    </w:rPr>
  </w:style>
  <w:style w:type="character" w:styleId="Style17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Style18">
    <w:name w:val="Знак примечания"/>
    <w:qFormat/>
    <w:rPr>
      <w:sz w:val="16"/>
      <w:szCs w:val="16"/>
    </w:rPr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kern w:val="2"/>
      <w:sz w:val="28"/>
      <w:szCs w:val="40"/>
    </w:rPr>
  </w:style>
  <w:style w:type="character" w:styleId="21">
    <w:name w:val="Заголовок 2 Знак"/>
    <w:qFormat/>
    <w:rPr>
      <w:rFonts w:ascii="Times New Roman" w:hAnsi="Times New Roman" w:eastAsia="Times New Roman" w:cs="Times New Roman"/>
      <w:b/>
      <w:bCs/>
      <w:sz w:val="28"/>
      <w:szCs w:val="32"/>
    </w:rPr>
  </w:style>
  <w:style w:type="character" w:styleId="Style19">
    <w:name w:val="Тема примечания Знак"/>
    <w:qFormat/>
    <w:rPr>
      <w:rFonts w:ascii="Arial" w:hAnsi="Arial" w:eastAsia="Times New Roman" w:cs="Times New Roman"/>
      <w:b/>
      <w:bCs/>
      <w:sz w:val="20"/>
      <w:szCs w:val="20"/>
    </w:rPr>
  </w:style>
  <w:style w:type="character" w:styleId="Style20">
    <w:name w:val="Схема документа Знак"/>
    <w:qFormat/>
    <w:rPr>
      <w:rFonts w:ascii="Tahoma" w:hAnsi="Tahoma" w:eastAsia="Times New Roman" w:cs="Tahoma"/>
      <w:sz w:val="16"/>
      <w:szCs w:val="16"/>
    </w:rPr>
  </w:style>
  <w:style w:type="character" w:styleId="Style21">
    <w:name w:val="Абзац списка Знак"/>
    <w:qFormat/>
    <w:rPr>
      <w:rFonts w:ascii="Arial" w:hAnsi="Arial" w:eastAsia="Times New Roman" w:cs="Arial"/>
      <w:sz w:val="24"/>
      <w:szCs w:val="24"/>
    </w:rPr>
  </w:style>
  <w:style w:type="character" w:styleId="Style22">
    <w:name w:val="Символ нумерации"/>
    <w:qFormat/>
    <w:rPr/>
  </w:style>
  <w:style w:type="character" w:styleId="WW8Num19z1">
    <w:name w:val="WW8Num19z1"/>
    <w:qFormat/>
    <w:rPr>
      <w:b/>
    </w:rPr>
  </w:style>
  <w:style w:type="paragraph" w:styleId="Style23">
    <w:name w:val="Заголовок"/>
    <w:basedOn w:val="Normal"/>
    <w:next w:val="Style2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4">
    <w:name w:val="Body Text"/>
    <w:basedOn w:val="Normal"/>
    <w:pPr>
      <w:spacing w:before="0" w:after="160"/>
    </w:pPr>
    <w:rPr>
      <w:lang w:val="ru-RU"/>
    </w:rPr>
  </w:style>
  <w:style w:type="paragraph" w:styleId="Style25">
    <w:name w:val="List"/>
    <w:basedOn w:val="Style24"/>
    <w:pPr/>
    <w:rPr>
      <w:rFonts w:ascii="PT Astra Serif" w:hAnsi="PT Astra Serif" w:cs="Noto Sans Devanagari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8">
    <w:name w:val="Текст примечания"/>
    <w:basedOn w:val="Normal"/>
    <w:qFormat/>
    <w:pPr/>
    <w:rPr>
      <w:sz w:val="20"/>
      <w:szCs w:val="20"/>
      <w:lang w:val="ru-RU"/>
    </w:rPr>
  </w:style>
  <w:style w:type="paragraph" w:styleId="Style29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0">
    <w:name w:val="Header"/>
    <w:basedOn w:val="Normal"/>
    <w:pPr/>
    <w:rPr>
      <w:lang w:val="ru-RU"/>
    </w:rPr>
  </w:style>
  <w:style w:type="paragraph" w:styleId="Style31">
    <w:name w:val="Footer"/>
    <w:basedOn w:val="Normal"/>
    <w:pPr/>
    <w:rPr>
      <w:lang w:val="ru-RU"/>
    </w:rPr>
  </w:style>
  <w:style w:type="paragraph" w:styleId="Style32">
    <w:name w:val="Текст выноски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Style33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paragraph" w:styleId="311">
    <w:name w:val="Основной текст 31"/>
    <w:basedOn w:val="Normal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</w:rPr>
  </w:style>
  <w:style w:type="paragraph" w:styleId="312">
    <w:name w:val="Основной текст с отступом 31"/>
    <w:basedOn w:val="Normal"/>
    <w:qFormat/>
    <w:pPr>
      <w:keepLines w:val="false"/>
      <w:suppressAutoHyphens w:val="true"/>
      <w:ind w:left="0" w:right="0" w:firstLine="709"/>
    </w:pPr>
    <w:rPr>
      <w:rFonts w:ascii="Times New Roman" w:hAnsi="Times New Roman" w:cs="Times New Roman"/>
      <w:b/>
      <w:bCs/>
      <w:sz w:val="26"/>
      <w:szCs w:val="26"/>
    </w:rPr>
  </w:style>
  <w:style w:type="paragraph" w:styleId="Style34">
    <w:name w:val="Обычный (веб)"/>
    <w:basedOn w:val="Normal"/>
    <w:qFormat/>
    <w:pPr>
      <w:keepLines w:val="false"/>
      <w:spacing w:before="280" w:after="280"/>
      <w:jc w:val="left"/>
    </w:pPr>
    <w:rPr>
      <w:rFonts w:ascii="Times New Roman" w:hAnsi="Times New Roman" w:cs="Times New Roman"/>
    </w:rPr>
  </w:style>
  <w:style w:type="paragraph" w:styleId="-3">
    <w:name w:val="Пункт-3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4">
    <w:name w:val="Пункт-4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5">
    <w:name w:val="Пункт-5"/>
    <w:basedOn w:val="Normal"/>
    <w:qFormat/>
    <w:pPr>
      <w:keepLines w:val="false"/>
      <w:numPr>
        <w:ilvl w:val="0"/>
        <w:numId w:val="2"/>
      </w:numPr>
    </w:pPr>
    <w:rPr>
      <w:rFonts w:ascii="Times New Roman" w:hAnsi="Times New Roman" w:cs="Times New Roman"/>
      <w:sz w:val="28"/>
    </w:rPr>
  </w:style>
  <w:style w:type="paragraph" w:styleId="-6">
    <w:name w:val="Пункт-6"/>
    <w:basedOn w:val="Normal"/>
    <w:qFormat/>
    <w:pPr>
      <w:keepLines w:val="false"/>
      <w:numPr>
        <w:ilvl w:val="0"/>
        <w:numId w:val="2"/>
      </w:numPr>
      <w:ind w:left="0" w:right="0" w:firstLine="709"/>
    </w:pPr>
    <w:rPr>
      <w:rFonts w:ascii="Times New Roman" w:hAnsi="Times New Roman" w:cs="Times New Roman"/>
      <w:sz w:val="28"/>
    </w:rPr>
  </w:style>
  <w:style w:type="paragraph" w:styleId="-7">
    <w:name w:val="Пункт-7"/>
    <w:basedOn w:val="Normal"/>
    <w:qFormat/>
    <w:pPr>
      <w:keepLines w:val="false"/>
      <w:numPr>
        <w:ilvl w:val="0"/>
        <w:numId w:val="2"/>
      </w:numPr>
      <w:ind w:left="0" w:right="0" w:firstLine="709"/>
    </w:pPr>
    <w:rPr>
      <w:rFonts w:ascii="Times New Roman" w:hAnsi="Times New Roman" w:cs="Times New Roman"/>
      <w:sz w:val="28"/>
    </w:rPr>
  </w:style>
  <w:style w:type="paragraph" w:styleId="Style35">
    <w:name w:val="Тема примечания"/>
    <w:basedOn w:val="Style28"/>
    <w:next w:val="Style28"/>
    <w:qFormat/>
    <w:pPr>
      <w:keepLines w:val="false"/>
      <w:spacing w:before="0" w:after="200"/>
      <w:jc w:val="left"/>
    </w:pPr>
    <w:rPr>
      <w:b/>
      <w:bCs/>
    </w:rPr>
  </w:style>
  <w:style w:type="paragraph" w:styleId="Style36">
    <w:name w:val="Схема документа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Style37">
    <w:name w:val="Рецензия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ru-RU" w:eastAsia="zh-CN" w:bidi="ar-SA"/>
    </w:rPr>
  </w:style>
  <w:style w:type="paragraph" w:styleId="Style38">
    <w:name w:val="Содержимое таблицы"/>
    <w:basedOn w:val="Normal"/>
    <w:qFormat/>
    <w:pPr>
      <w:widowControl w:val="false"/>
      <w:suppressLineNumbers/>
    </w:pPr>
    <w:rPr/>
  </w:style>
  <w:style w:type="paragraph" w:styleId="Style39">
    <w:name w:val="Заголовок таблицы"/>
    <w:basedOn w:val="Style3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19">
    <w:name w:val="WW8Num1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s://www.atom2.roseltorg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Application>LibreOffice/7.5.6.2$Linux_X86_64 LibreOffice_project/50$Build-2</Application>
  <AppVersion>15.0000</AppVersion>
  <Pages>6</Pages>
  <Words>1561</Words>
  <Characters>9132</Characters>
  <CharactersWithSpaces>10178</CharactersWithSpaces>
  <Paragraphs>534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2020-05-21T11:51:00Z</dcterms:created>
  <dc:creator>ss</dc:creator>
  <dc:description/>
  <dc:language>ru-RU</dc:language>
  <cp:lastModifiedBy/>
  <cp:lastPrinted>2024-12-10T10:15:42Z</cp:lastPrinted>
  <dcterms:modified xsi:type="dcterms:W3CDTF">2024-12-16T15:32:54Z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