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/>
        <w:drawing>
          <wp:inline distT="0" distB="0" distL="0" distR="0">
            <wp:extent cx="1111250" cy="50419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29" t="-286" r="-129" b="-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ФЕДЕРАЛЬНОЕ ГОСУДАРСТВЕННОЕ УНИТАРНОЕ ПРЕДПРИЯТИЕ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«ГОРНО-ХИМИЧЕСКИЙ КОМБИНАТ»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(ФГУП  «ГХК»)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ПРОТОКОЛ №</w:t>
      </w:r>
      <w:r>
        <w:rPr>
          <w:b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lang w:val="ru-RU" w:bidi="ar-SA"/>
        </w:rPr>
        <w:t>32414185572/1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заседания закупочной комиссии по рассмотрению первых частей заявок по открытому аукциону в электронной форме на право заключения договора на поставку летней специальной одежды, специальной обуви и других средств индивидуальной защиты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Cs/>
        </w:rPr>
        <w:t>г. Железногорск</w:t>
        <w:tab/>
        <w:tab/>
        <w:tab/>
        <w:tab/>
        <w:t xml:space="preserve">         дата подписания протокола «___» декабря 2024 г.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Информация о закупке: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Заказчик: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Общество с ограниченной ответственностью «Производственное ремонтно-эксплуатационное хозяйство Горно-химического комбината» (ООО «ПРЭХ ГХК»)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eastAsia="en-US"/>
        </w:rPr>
        <w:t>662972, РФ, Красноярский край, ЗАТО Железногорск, г.Железногорск, ул.Ленина, д.74Б, пом.45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Организатор закупки:</w:t>
      </w:r>
      <w:r>
        <w:rPr>
          <w:rFonts w:cs="Times New Roman" w:ascii="Times New Roman" w:hAnsi="Times New Roman"/>
          <w:sz w:val="24"/>
          <w:szCs w:val="24"/>
        </w:rPr>
        <w:t xml:space="preserve"> Федеральное государственное унитарное предприятие "Горно-химический комбинат" (Россия, 662972, ЗАТО Железногорск, г. Железногорск, Красноярского края, ул. Ленина, 53).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Наименование закупки:</w:t>
      </w:r>
      <w:r>
        <w:rPr>
          <w:rFonts w:cs="Times New Roman" w:ascii="Times New Roman" w:hAnsi="Times New Roman"/>
          <w:sz w:val="24"/>
          <w:szCs w:val="24"/>
        </w:rPr>
        <w:t xml:space="preserve"> открытый аукцион в электронной форме без квалификационного отбора на право заключения договора </w:t>
      </w:r>
      <w:r>
        <w:rPr>
          <w:rFonts w:cs="Times New Roman" w:ascii="Times New Roman" w:hAnsi="Times New Roman"/>
          <w:bCs/>
          <w:sz w:val="24"/>
          <w:szCs w:val="24"/>
        </w:rPr>
        <w:t xml:space="preserve">на поставку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летней специальной одежды, специальной обуви и других средств индивидуальной защиты</w:t>
      </w:r>
      <w:r>
        <w:rPr>
          <w:rFonts w:cs="Times New Roman" w:ascii="Times New Roman" w:hAnsi="Times New Roman"/>
          <w:bCs/>
          <w:sz w:val="24"/>
          <w:szCs w:val="24"/>
        </w:rPr>
        <w:t>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Предмет договора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sz w:val="24"/>
          <w:szCs w:val="24"/>
        </w:rPr>
        <w:t xml:space="preserve">поставка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летней специальной одежды, специальной обуви и других средств индивидуальной защиты.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Состав и объем </w:t>
      </w:r>
      <w:r>
        <w:rPr>
          <w:rFonts w:cs="Times New Roman" w:ascii="Times New Roman" w:hAnsi="Times New Roman"/>
          <w:b/>
          <w:bCs/>
          <w:i/>
          <w:sz w:val="24"/>
          <w:szCs w:val="24"/>
        </w:rPr>
        <w:t>товара/работ/услуг</w:t>
      </w:r>
      <w:r>
        <w:rPr>
          <w:rFonts w:cs="Times New Roman" w:ascii="Times New Roman" w:hAnsi="Times New Roman"/>
          <w:b/>
          <w:bCs/>
          <w:sz w:val="24"/>
          <w:szCs w:val="24"/>
        </w:rPr>
        <w:t>:</w:t>
      </w:r>
      <w:r>
        <w:rPr>
          <w:rFonts w:cs="Times New Roman" w:ascii="Times New Roman" w:hAnsi="Times New Roman"/>
          <w:bCs/>
          <w:sz w:val="24"/>
          <w:szCs w:val="24"/>
        </w:rPr>
        <w:t xml:space="preserve"> все необходимые сведения приведены в Томе 2 закупочной документации.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Срок </w:t>
      </w:r>
      <w:r>
        <w:rPr>
          <w:rFonts w:cs="Times New Roman" w:ascii="Times New Roman" w:hAnsi="Times New Roman"/>
          <w:b/>
          <w:i/>
          <w:sz w:val="24"/>
          <w:szCs w:val="24"/>
        </w:rPr>
        <w:t>поставки товара, выполнения работ или оказания услуг</w:t>
      </w:r>
      <w:r>
        <w:rPr>
          <w:rFonts w:cs="Times New Roman" w:ascii="Times New Roman" w:hAnsi="Times New Roman"/>
          <w:b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sz w:val="24"/>
          <w:szCs w:val="24"/>
        </w:rPr>
        <w:t>все необходимые сведения приведены в Томе 2 закупочной документации.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ru-RU" w:bidi="ar-SA"/>
        </w:rPr>
      </w:pPr>
      <w:r>
        <w:rPr>
          <w:rFonts w:cs="Times New Roman"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9 362 862 </w:t>
      </w:r>
      <w:r>
        <w:rPr>
          <w:rFonts w:cs="Times New Roman" w:ascii="Times New Roman" w:hAnsi="Times New Roman"/>
          <w:sz w:val="24"/>
          <w:szCs w:val="24"/>
        </w:rPr>
        <w:t xml:space="preserve">(девять миллионов триста шестьдесят две тысячи восемьсот шестьдесят два) рубля </w:t>
      </w:r>
      <w:r>
        <w:rPr>
          <w:rFonts w:cs="Times New Roman" w:ascii="Times New Roman" w:hAnsi="Times New Roman"/>
          <w:b/>
          <w:sz w:val="24"/>
          <w:szCs w:val="24"/>
        </w:rPr>
        <w:t>03</w:t>
      </w:r>
      <w:r>
        <w:rPr>
          <w:rFonts w:cs="Times New Roman" w:ascii="Times New Roman" w:hAnsi="Times New Roman"/>
          <w:sz w:val="24"/>
          <w:szCs w:val="24"/>
        </w:rPr>
        <w:t xml:space="preserve"> копейки, включая НДС.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rPr>
          <w:rFonts w:ascii="Times New Roman" w:hAnsi="Times New Roman" w:eastAsia="Times New Roman" w:cs="Times New Roman"/>
          <w:b w:val="false"/>
          <w:bCs w:val="false"/>
          <w:color w:val="auto"/>
          <w:sz w:val="20"/>
          <w:szCs w:val="20"/>
          <w:lang w:val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  <w:lang w:val="ru-RU" w:bidi="ar-SA"/>
        </w:rPr>
        <w:t>Начальная (максимальная) цена единицы продукции:</w:t>
      </w:r>
    </w:p>
    <w:tbl>
      <w:tblPr>
        <w:tblW w:w="9988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4424"/>
        <w:gridCol w:w="2437"/>
        <w:gridCol w:w="2488"/>
      </w:tblGrid>
      <w:tr>
        <w:trPr/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п/п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  <w:tab w:val="left" w:pos="4050" w:leader="none"/>
              </w:tabs>
              <w:suppressAutoHyphens w:val="true"/>
              <w:spacing w:before="0" w:after="0"/>
              <w:contextualSpacing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Наименование продукции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Размер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Начальная (максимальная) цена единицы продукции, руб., включая НДС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сигнальный для защиты от общих производственных загрязнений и механических воздействий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нефти и нефтепродуктов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32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вредных биологических факторов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Белье нательное хлопчатобумажное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 xml:space="preserve"> </w:t>
            </w: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1 003,92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72-74-182-188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Плащ для защиты от воды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Жилет сигнальный огнестойкий 2-го класса защиты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44-46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58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Подшлемник под каску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400,72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59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Туфли (тапочки) кожаные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2 056,50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2 056,50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83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 с защитным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100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 с защитным подноском для защиты от повышенных температур на термостойкой маслобензостойкой подошве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105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кожаные с защитным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111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кожаные с жестким подноском для защиты от повышенных температур, искр и брызг расплавленного металла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116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резиновые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резиновые с жестким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138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Каска защитная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241,60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139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Фартук из полимерных материалов с нагрудников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581,52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Извещение о проведении закупки и закупочная документация опубликованы «12» ноября 2024 года на официальном государственном сайте (http://www.zakupki.gov.ru), закупка №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  <w:lang w:val="ru-RU" w:bidi="ar-SA"/>
        </w:rPr>
        <w:t>32414185572</w:t>
      </w:r>
      <w:r>
        <w:rPr>
          <w:rFonts w:cs="Times New Roman" w:ascii="Times New Roman" w:hAnsi="Times New Roman"/>
          <w:sz w:val="24"/>
          <w:szCs w:val="24"/>
        </w:rPr>
        <w:t xml:space="preserve">, на официальном сайте по закупкам атомной отрасли </w:t>
      </w:r>
      <w:hyperlink r:id="rId3">
        <w:r>
          <w:rPr>
            <w:rStyle w:val="-"/>
            <w:rFonts w:cs="Times New Roman" w:ascii="Times New Roman" w:hAnsi="Times New Roman"/>
            <w:sz w:val="24"/>
            <w:szCs w:val="24"/>
          </w:rPr>
          <w:t>http://zakupki.rosatom.ru/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закупка </w:t>
      </w:r>
      <w:r>
        <w:rPr>
          <w:rFonts w:cs="Times New Roman" w:ascii="Times New Roman" w:hAnsi="Times New Roman"/>
          <w:b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</w:rPr>
        <w:t>28069</w:t>
      </w:r>
      <w:r>
        <w:rPr>
          <w:rFonts w:cs="Times New Roman" w:ascii="Times New Roman" w:hAnsi="Times New Roman"/>
          <w:sz w:val="24"/>
          <w:szCs w:val="24"/>
        </w:rPr>
        <w:t>, на ЭТП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 «ЭТС (НЭП)»</w:t>
      </w:r>
      <w:r>
        <w:rPr>
          <w:rFonts w:cs="Times New Roman" w:ascii="Times New Roman" w:hAnsi="Times New Roman"/>
          <w:sz w:val="24"/>
          <w:szCs w:val="24"/>
        </w:rPr>
        <w:t xml:space="preserve">, по адресу в сети «Интернет»: </w:t>
      </w:r>
      <w:hyperlink r:id="rId4">
        <w:r>
          <w:rPr>
            <w:rFonts w:cs="Times New Roman" w:ascii="Times New Roman" w:hAnsi="Times New Roman"/>
            <w:sz w:val="24"/>
            <w:szCs w:val="24"/>
          </w:rPr>
          <w:t>https://www.etp-ets.ru</w:t>
        </w:r>
      </w:hyperlink>
      <w:r>
        <w:rPr>
          <w:rFonts w:cs="Times New Roman" w:ascii="Times New Roman" w:hAnsi="Times New Roman"/>
          <w:sz w:val="24"/>
          <w:szCs w:val="24"/>
        </w:rPr>
        <w:t>, закупка №</w:t>
      </w:r>
      <w:r>
        <w:rPr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  <w:lang w:val="ru-RU" w:bidi="ar-SA"/>
        </w:rPr>
        <w:t>32414185572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Заседание закупочной комиссии проводится в очной форме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11:00 (время московское) «</w:t>
      </w:r>
      <w:r>
        <w:rPr>
          <w:rFonts w:cs="Times New Roman" w:ascii="Times New Roman" w:hAnsi="Times New Roman"/>
          <w:sz w:val="24"/>
          <w:szCs w:val="24"/>
        </w:rPr>
        <w:t>04</w:t>
      </w:r>
      <w:r>
        <w:rPr>
          <w:rFonts w:cs="Times New Roman" w:ascii="Times New Roman" w:hAnsi="Times New Roman"/>
          <w:sz w:val="24"/>
          <w:szCs w:val="24"/>
        </w:rPr>
        <w:t>» декабря 2024 года, по адресу: 662972, РФ, ЗАТО Железногорск, г. Железногорск, Красноярского края, ул. Ленина, д.56.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Сведения о составе членов закупочной комиссии приведены в разделе «Закупочная комиссия» настоящего протокола.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Заседание проводится в присутствии __</w:t>
      </w:r>
      <w:r>
        <w:rPr>
          <w:rFonts w:cs="Times New Roman" w:ascii="Times New Roman" w:hAnsi="Times New Roman"/>
          <w:sz w:val="24"/>
          <w:szCs w:val="24"/>
        </w:rPr>
        <w:t>9</w:t>
      </w:r>
      <w:r>
        <w:rPr>
          <w:rFonts w:cs="Times New Roman" w:ascii="Times New Roman" w:hAnsi="Times New Roman"/>
          <w:sz w:val="24"/>
          <w:szCs w:val="24"/>
        </w:rPr>
        <w:t>__ из 13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Срок окончания подачи заявок на участие в закупке 05:00 (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время московское</w:t>
      </w:r>
      <w:r>
        <w:rPr>
          <w:rFonts w:cs="Times New Roman" w:ascii="Times New Roman" w:hAnsi="Times New Roman"/>
          <w:sz w:val="24"/>
          <w:szCs w:val="24"/>
        </w:rPr>
        <w:t>) «28» ноября 2024 года.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>«ЭТС (НЭП)»</w:t>
      </w:r>
      <w:r>
        <w:rPr>
          <w:rFonts w:cs="Times New Roman" w:ascii="Times New Roman" w:hAnsi="Times New Roman"/>
          <w:sz w:val="24"/>
          <w:szCs w:val="24"/>
        </w:rPr>
        <w:t xml:space="preserve"> заявок на участие в закупке  – 5 (пять).</w:t>
      </w:r>
    </w:p>
    <w:p>
      <w:pPr>
        <w:pStyle w:val="Normal"/>
        <w:widowControl w:val="false"/>
        <w:rPr>
          <w:rFonts w:ascii="Times New Roman" w:hAnsi="Times New Roman" w:cs="Times New Roman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sz w:val="24"/>
          <w:szCs w:val="24"/>
        </w:rPr>
        <w:t>Согласно результатам открытия доступа к первым частям заявок на участие в закупке:</w:t>
      </w:r>
    </w:p>
    <w:tbl>
      <w:tblPr>
        <w:tblW w:w="102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7"/>
        <w:gridCol w:w="3583"/>
        <w:gridCol w:w="4871"/>
      </w:tblGrid>
      <w:tr>
        <w:trPr>
          <w:tblHeader w:val="true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Рег. № заявки на ЭТП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Наименование участника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Дата и время регистрации заявки</w:t>
            </w:r>
          </w:p>
        </w:tc>
      </w:tr>
      <w:tr>
        <w:trPr>
          <w:trHeight w:val="447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1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№1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«20»ноября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08:28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2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№2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«26»ноября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13:33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3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№3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16:24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4</w:t>
            </w:r>
          </w:p>
        </w:tc>
        <w:tc>
          <w:tcPr>
            <w:tcW w:w="3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№4</w:t>
            </w:r>
          </w:p>
        </w:tc>
        <w:tc>
          <w:tcPr>
            <w:tcW w:w="4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17:26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5</w:t>
            </w:r>
          </w:p>
        </w:tc>
        <w:tc>
          <w:tcPr>
            <w:tcW w:w="3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№5</w:t>
            </w:r>
          </w:p>
        </w:tc>
        <w:tc>
          <w:tcPr>
            <w:tcW w:w="4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18:50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</w:tbl>
    <w:p>
      <w:pPr>
        <w:pStyle w:val="Normal"/>
        <w:keepLines w:val="false"/>
        <w:tabs>
          <w:tab w:val="clear" w:pos="708"/>
          <w:tab w:val="left" w:pos="567" w:leader="none"/>
        </w:tabs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6"/>
          <w:szCs w:val="26"/>
        </w:rPr>
        <w:t xml:space="preserve">2. </w:t>
      </w:r>
      <w:r>
        <w:rPr>
          <w:rFonts w:cs="Times New Roman" w:ascii="Times New Roman" w:hAnsi="Times New Roman"/>
          <w:sz w:val="24"/>
          <w:szCs w:val="24"/>
        </w:rPr>
        <w:t>По результатам рассмотрения первых частей заявок на участие в аукционе закупочной комиссией были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приняты следующие решения:</w:t>
      </w:r>
    </w:p>
    <w:p>
      <w:pPr>
        <w:pStyle w:val="Normal"/>
        <w:widowControl w:val="false"/>
        <w:numPr>
          <w:ilvl w:val="1"/>
          <w:numId w:val="4"/>
        </w:numPr>
        <w:spacing w:before="113" w:after="0"/>
        <w:ind w:left="0" w:right="0" w:hanging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Признать</w:t>
      </w:r>
      <w:r>
        <w:rPr>
          <w:rFonts w:cs="Times New Roman" w:ascii="Times New Roman" w:hAnsi="Times New Roman"/>
          <w:sz w:val="24"/>
          <w:szCs w:val="24"/>
        </w:rPr>
        <w:t xml:space="preserve"> соответствующими требованиям закупочной документации первые части заявок участников, которым присвоены следующие</w:t>
      </w: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уникальные идентификационные номера</w:t>
      </w:r>
      <w:r>
        <w:rPr>
          <w:rFonts w:eastAsia="Calibri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before="120" w:after="0"/>
        <w:ind w:left="0" w:right="0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2.1.1. </w:t>
      </w:r>
      <w:r>
        <w:rPr>
          <w:rFonts w:cs="Times New Roman" w:ascii="Times New Roman" w:hAnsi="Times New Roman"/>
          <w:b/>
          <w:bCs/>
          <w:sz w:val="24"/>
          <w:szCs w:val="24"/>
        </w:rPr>
        <w:t>Заявка № 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b/>
          <w:bCs/>
          <w:i w:val="false"/>
          <w:iCs w:val="false"/>
          <w:sz w:val="24"/>
          <w:szCs w:val="24"/>
        </w:rPr>
        <w:t>2</w:t>
      </w:r>
    </w:p>
    <w:p>
      <w:pPr>
        <w:pStyle w:val="Normal"/>
        <w:widowControl w:val="false"/>
        <w:spacing w:before="113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Результаты голосования членов закупочной  комиссии: </w:t>
      </w:r>
    </w:p>
    <w:p>
      <w:pPr>
        <w:pStyle w:val="Normal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«за» – __</w:t>
      </w:r>
      <w:r>
        <w:rPr>
          <w:rFonts w:cs="Times New Roman" w:ascii="Times New Roman" w:hAnsi="Times New Roman"/>
          <w:bCs/>
          <w:sz w:val="24"/>
          <w:szCs w:val="24"/>
        </w:rPr>
        <w:t>9</w:t>
      </w:r>
      <w:r>
        <w:rPr>
          <w:rFonts w:cs="Times New Roman" w:ascii="Times New Roman" w:hAnsi="Times New Roman"/>
          <w:bCs/>
          <w:sz w:val="24"/>
          <w:szCs w:val="24"/>
        </w:rPr>
        <w:t xml:space="preserve">__ голоса/-ов; </w:t>
      </w:r>
    </w:p>
    <w:p>
      <w:pPr>
        <w:pStyle w:val="Normal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«против» – 0 голоса/-ов;  </w:t>
      </w:r>
    </w:p>
    <w:p>
      <w:pPr>
        <w:pStyle w:val="Normal"/>
        <w:widowControl w:val="fals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«воздержался» – 0 голоса/-ов.</w:t>
      </w:r>
    </w:p>
    <w:p>
      <w:pPr>
        <w:pStyle w:val="Normal"/>
        <w:widowControl w:val="false"/>
        <w:numPr>
          <w:ilvl w:val="1"/>
          <w:numId w:val="4"/>
        </w:numPr>
        <w:spacing w:before="113" w:after="0"/>
        <w:ind w:left="0" w:right="0" w:hanging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Отклонить</w:t>
      </w:r>
      <w:r>
        <w:rPr>
          <w:rFonts w:cs="Times New Roman" w:ascii="Times New Roman" w:hAnsi="Times New Roman"/>
          <w:sz w:val="24"/>
          <w:szCs w:val="24"/>
        </w:rPr>
        <w:t xml:space="preserve"> заявки участников</w:t>
      </w:r>
      <w:r>
        <w:rPr>
          <w:rFonts w:eastAsia="Calibri" w:cs="Times New Roman" w:ascii="Times New Roman" w:hAnsi="Times New Roman"/>
          <w:sz w:val="24"/>
          <w:szCs w:val="24"/>
        </w:rPr>
        <w:t xml:space="preserve">, которым присвоены следующие </w:t>
      </w:r>
      <w:r>
        <w:rPr>
          <w:rFonts w:cs="Times New Roman" w:ascii="Times New Roman" w:hAnsi="Times New Roman"/>
          <w:sz w:val="24"/>
          <w:szCs w:val="24"/>
        </w:rPr>
        <w:t>уникальные идентификационные номера: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1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keepLines/>
        <w:widowControl/>
        <w:numPr>
          <w:ilvl w:val="0"/>
          <w:numId w:val="0"/>
        </w:numPr>
        <w:tabs>
          <w:tab w:val="clear" w:pos="708"/>
          <w:tab w:val="left" w:pos="913" w:leader="none"/>
        </w:tabs>
        <w:suppressAutoHyphens w:val="true"/>
        <w:bidi w:val="0"/>
        <w:spacing w:before="113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в соответствии с подпунктами а) «</w:t>
      </w:r>
      <w:r>
        <w:rPr>
          <w:rFonts w:cs="Times New Roman" w:ascii="Times New Roman" w:hAnsi="Times New Roman"/>
          <w:bCs/>
          <w:sz w:val="24"/>
          <w:szCs w:val="24"/>
        </w:rPr>
        <w:t>несоответствие первой части заявки по составу и содержанию, в том числе представленного технического предложения»</w:t>
      </w:r>
      <w:r>
        <w:rPr>
          <w:rFonts w:cs="Times New Roman" w:ascii="Times New Roman" w:hAnsi="Times New Roman"/>
          <w:sz w:val="24"/>
          <w:szCs w:val="24"/>
        </w:rPr>
        <w:t xml:space="preserve"> б) «</w:t>
      </w:r>
      <w:r>
        <w:rPr>
          <w:rFonts w:cs="Times New Roman" w:ascii="Times New Roman" w:hAnsi="Times New Roman"/>
          <w:bCs/>
          <w:sz w:val="24"/>
          <w:szCs w:val="24"/>
        </w:rPr>
        <w:t>несоответствие продукции, указанной в заявке на участие в аукционе, требованиям  документации»</w:t>
      </w:r>
      <w:r>
        <w:rPr>
          <w:rFonts w:cs="Times New Roman" w:ascii="Times New Roman" w:hAnsi="Times New Roman"/>
          <w:sz w:val="24"/>
          <w:szCs w:val="24"/>
        </w:rPr>
        <w:t xml:space="preserve"> пункта 8.10 части 2 закупочной документации, а именно: </w:t>
      </w:r>
    </w:p>
    <w:p>
      <w:pPr>
        <w:pStyle w:val="Normal"/>
        <w:keepLines w:val="false"/>
        <w:widowControl w:val="false"/>
        <w:bidi w:val="0"/>
        <w:spacing w:before="120" w:after="0"/>
        <w:ind w:left="0" w:right="0" w:firstLine="340"/>
        <w:jc w:val="both"/>
        <w:rPr>
          <w:rFonts w:ascii="Times New Roman" w:hAnsi="Times New Roman" w:cs="Times New Roman"/>
          <w:b w:val="false"/>
          <w:bCs/>
          <w:sz w:val="24"/>
          <w:szCs w:val="24"/>
          <w:shd w:fill="auto" w:val="clear"/>
        </w:rPr>
      </w:pPr>
      <w:r>
        <w:rPr>
          <w:rFonts w:cs="Times New Roman" w:ascii="Times New Roman" w:hAnsi="Times New Roman"/>
        </w:rPr>
        <w:t xml:space="preserve">1) в техническом предложении </w:t>
      </w:r>
      <w:r>
        <w:rPr>
          <w:rFonts w:cs="Times New Roman" w:ascii="Times New Roman" w:hAnsi="Times New Roman"/>
          <w:bCs/>
        </w:rPr>
        <w:t xml:space="preserve">(Форма 2) </w:t>
      </w:r>
      <w:r>
        <w:rPr>
          <w:rFonts w:cs="Times New Roman" w:ascii="Times New Roman" w:hAnsi="Times New Roman"/>
        </w:rPr>
        <w:t xml:space="preserve">отсутствует информация о </w:t>
      </w:r>
      <w:r>
        <w:rPr>
          <w:rFonts w:cs="Times New Roman" w:ascii="Times New Roman" w:hAnsi="Times New Roman"/>
          <w:bCs/>
        </w:rPr>
        <w:t xml:space="preserve">характеристиках (потребительских свойствах) </w:t>
      </w:r>
      <w:r>
        <w:rPr>
          <w:rFonts w:cs="Times New Roman" w:ascii="Times New Roman" w:hAnsi="Times New Roman"/>
        </w:rPr>
        <w:t xml:space="preserve">предлагаемого к поставке товара, </w:t>
      </w:r>
      <w:r>
        <w:rPr>
          <w:rFonts w:cs="Times New Roman" w:ascii="Times New Roman" w:hAnsi="Times New Roman"/>
          <w:bCs/>
        </w:rPr>
        <w:t>а именно:</w:t>
      </w:r>
    </w:p>
    <w:p>
      <w:pPr>
        <w:pStyle w:val="Normal"/>
        <w:widowControl w:val="false"/>
        <w:bidi w:val="0"/>
        <w:spacing w:before="12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</w:pPr>
      <w:r>
        <w:rPr>
          <w:rFonts w:cs="Times New Roman" w:ascii="Times New Roman" w:hAnsi="Times New Roman"/>
          <w:b w:val="false"/>
          <w:bCs/>
          <w:sz w:val="24"/>
          <w:szCs w:val="24"/>
          <w:shd w:fill="auto" w:val="clear"/>
        </w:rPr>
        <w:t xml:space="preserve">- отсутствует информация о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соответствии ГОСТ 12.4.124-83 по позициям 28-31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</w:pP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- отсутствует информация о соответствии ГОСТ 12.4.296-2013 и ГОСТ 12.4.280-2014 по позициям 32-38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  <w:t xml:space="preserve">- отсутствует информация о соответствии ГОСТ ИСО 11612-2020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по позициям 50-57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  <w:t xml:space="preserve">- отсутствует информация о соответствии ГОСТ 33378-2015, ТР ТС 019/2011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по позиции 58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  <w:t xml:space="preserve">- отсутствует информация о соответствии ГОСТ 28507-99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по позициям 59-67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  <w:t xml:space="preserve">- отсутствует информация о соответствии ГОСТ 12.4.137-2001 и ГОСТ 12.4.033-95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по позициям 100-104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  <w:t xml:space="preserve">- отсутствует информация о соответствии ГОСТ 12.4.033-95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по позициям 105-110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  <w:t xml:space="preserve">- отсутствует информация о соответствии ГОСТ Р 12.4.187-97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по позициям 111-115 технического предложения;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bidi="ar-SA"/>
        </w:rPr>
        <w:t xml:space="preserve">- отсутствует информация о соответствии ГОСТ 12.4.072-79 </w:t>
      </w:r>
      <w:r>
        <w:rPr>
          <w:rFonts w:eastAsia="Times New Roman" w:cs="Times New Roman" w:ascii="Times New Roman" w:hAnsi="Times New Roman"/>
          <w:b w:val="false"/>
          <w:bCs/>
          <w:color w:val="000000"/>
          <w:sz w:val="24"/>
          <w:szCs w:val="24"/>
          <w:shd w:fill="auto" w:val="clear"/>
          <w:lang w:val="ru-RU" w:bidi="ar-SA"/>
        </w:rPr>
        <w:t>по позициям 128-137 технического предложения.</w:t>
      </w:r>
    </w:p>
    <w:p>
      <w:pPr>
        <w:pStyle w:val="Normal"/>
        <w:spacing w:before="113" w:after="0"/>
        <w:ind w:left="0" w:right="0" w:firstLine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</w:t>
      </w:r>
      <w:r>
        <w:rPr>
          <w:rFonts w:cs="Times New Roman" w:ascii="Times New Roman" w:hAnsi="Times New Roman"/>
          <w:bCs/>
          <w:sz w:val="24"/>
          <w:szCs w:val="24"/>
        </w:rPr>
        <w:t>несоответствие характеристик предлагаемого к поставке товара в техническом предложении Участника (Форма 2) требуемым характеристикам, указанным в техническом задании (Том 2) закупочной документации, а именно:</w:t>
      </w:r>
    </w:p>
    <w:p>
      <w:pPr>
        <w:pStyle w:val="Normal"/>
        <w:spacing w:before="0" w:after="0"/>
        <w:ind w:left="0" w:right="0" w:firstLine="360"/>
        <w:rPr/>
      </w:pPr>
      <w:r>
        <w:rPr>
          <w:rFonts w:cs="Times New Roman" w:ascii="Times New Roman" w:hAnsi="Times New Roman"/>
          <w:bCs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по позициям 13-27 технического предло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жения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4"/>
          <w:szCs w:val="24"/>
          <w:lang w:val="ru-RU" w:bidi="ar-SA"/>
        </w:rPr>
        <w:t xml:space="preserve">«Костюм сигнальный ProfLine Specialist-1 (тк.Смесовая,240) брюки, оранжевый/т.синий»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предложен - состав ткани: хлопок 35%, полиэфир 65%, плотность 240 г/м² (требуется - хлопок от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40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 до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50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%; полиэфир от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50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 до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60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%, плотность: не менее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245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г/м².);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- по позициям 28-31 технического предложен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4"/>
          <w:szCs w:val="24"/>
          <w:lang w:val="ru-RU" w:bidi="ar-SA"/>
        </w:rPr>
        <w:t>ия «Костюм OIL-3 для защиты от нефти и нефтепродуктов из антистат. огнест. ткани» пред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ложен - состав ткани: нейлон 12% (требуется -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полиэфир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не более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65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%);</w:t>
      </w:r>
    </w:p>
    <w:p>
      <w:pPr>
        <w:pStyle w:val="Normal"/>
        <w:spacing w:before="0" w:after="0"/>
        <w:ind w:left="0" w:right="0" w:firstLine="360"/>
        <w:rPr/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позициям 50-57 технического предложения «Жилет сигнальный Энергия» предложен - состав ткани: Флуоресцентная огнестойкая ткань Флеймтуфф (88% х/б, 12% ПА, в том числе 2% антиэлектростатическая нить), НМВО, плотность 265 г/м² (требуется - хлопок –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45% – 55%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; полиэфир –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45% – 55%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; плотность ткани: не менее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300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г/м²);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позициям 105-110 технического предложения «Сапоги кожаные Фулгард» предложен тип подошвы: двухслойная (требуется —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трехслойная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- по позициям 116-127 технического предложения «Сапоги ПВХ Сардоникс 165-03» предложена защита от кислот концентрации от 20 до 50% (требуется — от концентрированных растворов кислот от 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50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 до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80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%).</w:t>
      </w:r>
    </w:p>
    <w:p>
      <w:pPr>
        <w:pStyle w:val="Normal"/>
        <w:keepLines w:val="false"/>
        <w:widowControl w:val="false"/>
        <w:spacing w:before="12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«за» – __</w:t>
      </w:r>
      <w:r>
        <w:rPr>
          <w:rFonts w:eastAsia="Calibri" w:cs="Times New Roman" w:ascii="Times New Roman" w:hAnsi="Times New Roman"/>
          <w:sz w:val="24"/>
          <w:szCs w:val="24"/>
        </w:rPr>
        <w:t>9</w:t>
      </w:r>
      <w:r>
        <w:rPr>
          <w:rFonts w:eastAsia="Calibri" w:cs="Times New Roman" w:ascii="Times New Roman" w:hAnsi="Times New Roman"/>
          <w:sz w:val="24"/>
          <w:szCs w:val="24"/>
        </w:rPr>
        <w:t>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/-ов;</w:t>
      </w: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Calibri" w:cs="Times New Roman" w:ascii="Times New Roman" w:hAnsi="Times New Roman"/>
          <w:sz w:val="24"/>
          <w:szCs w:val="24"/>
        </w:rPr>
        <w:t>«против» – _0__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</w:t>
      </w:r>
      <w:r>
        <w:rPr>
          <w:rFonts w:eastAsia="Calibri"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Cs/>
          <w:color w:val="auto"/>
          <w:sz w:val="24"/>
          <w:szCs w:val="24"/>
          <w:lang w:val="ru-RU" w:bidi="ar-SA"/>
        </w:rPr>
        <w:t>«воздержался» – __0__ голоса</w:t>
      </w:r>
      <w:r>
        <w:rPr>
          <w:rFonts w:eastAsia="Times New Roman" w:cs="Times New Roman" w:ascii="Times New Roman" w:hAnsi="Times New Roman"/>
          <w:b/>
          <w:bCs/>
          <w:i/>
          <w:color w:val="auto"/>
          <w:sz w:val="24"/>
          <w:szCs w:val="24"/>
          <w:lang w:val="ru-RU" w:bidi="ar-SA"/>
        </w:rPr>
        <w:t>/-ов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.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3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keepLines/>
        <w:widowControl/>
        <w:numPr>
          <w:ilvl w:val="0"/>
          <w:numId w:val="0"/>
        </w:numPr>
        <w:tabs>
          <w:tab w:val="clear" w:pos="708"/>
          <w:tab w:val="left" w:pos="913" w:leader="none"/>
        </w:tabs>
        <w:suppressAutoHyphens w:val="true"/>
        <w:bidi w:val="0"/>
        <w:spacing w:before="113" w:after="0"/>
        <w:ind w:left="0" w:right="0" w:hanging="0"/>
        <w:jc w:val="both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в соответствии с подпунктом б) «несоответствие продукции, указанной в заявке на участие в аукционе, требованиям  документации» пункта 8.10 части 2 закупочной документации, а именно: </w:t>
      </w:r>
    </w:p>
    <w:p>
      <w:pPr>
        <w:pStyle w:val="Normal"/>
        <w:spacing w:before="113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1) несоответствие характеристик предлагаемого к поставке товара в техническом предложении Участника (Форма 2) требуемым характеристикам, указанным в техническом задании (Том 2) закупочной документации, а именно:</w:t>
      </w:r>
    </w:p>
    <w:p>
      <w:pPr>
        <w:pStyle w:val="Normal"/>
        <w:spacing w:before="0" w:after="0"/>
        <w:ind w:left="0" w:right="0" w:firstLine="360"/>
        <w:rPr/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позиции 2 технического предложения (по позициям 13-27 технического задания) «Костюм сигнальный для защиты от общих производственных загрязнений и механических воздействий ProfLine Specialist-1» предложен - состав ткани: хлопок 35%, полиэфир 65%, плотность 240 г/м² (требуется - хлопок от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40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 до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50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%; полиэфир от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50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 до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60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%, плотность: не менее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245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г/м².);</w:t>
      </w:r>
    </w:p>
    <w:p>
      <w:pPr>
        <w:pStyle w:val="Normal"/>
        <w:spacing w:before="0" w:after="0"/>
        <w:ind w:left="0" w:right="0" w:firstLine="360"/>
        <w:rPr/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- по позиции 9 технического предложения (по позициям 59-67 технического задания) «</w:t>
      </w:r>
      <w:r>
        <w:rPr>
          <w:rFonts w:eastAsia="Times New Roman" w:cs="Times New Roman" w:ascii="Times New Roman" w:hAnsi="Times New Roman"/>
          <w:bCs/>
          <w:color w:val="auto"/>
          <w:sz w:val="22"/>
          <w:szCs w:val="22"/>
          <w:lang w:val="ru-RU" w:bidi="ar-SA"/>
        </w:rPr>
        <w:t>Туфли (тапочки) кожан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ые Подводник с перфорацией» предложен материал подошвы: пористая резина (требуется -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полиуретан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(ПУ) или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поливинилхлорид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(ПВХ));</w:t>
      </w:r>
    </w:p>
    <w:p>
      <w:pPr>
        <w:pStyle w:val="Normal"/>
        <w:spacing w:before="0" w:after="0"/>
        <w:ind w:left="0" w:right="0" w:firstLine="360"/>
        <w:rPr/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- по позиции 11 технического предложения (по позициям 83-99 технического задания) «</w:t>
      </w:r>
      <w:r>
        <w:rPr>
          <w:rFonts w:eastAsia="Times New Roman" w:cs="Times New Roman" w:ascii="Times New Roman" w:hAnsi="Times New Roman"/>
          <w:bCs/>
          <w:color w:val="auto"/>
          <w:sz w:val="22"/>
          <w:szCs w:val="22"/>
          <w:lang w:val="ru-RU" w:bidi="ar-SA"/>
        </w:rPr>
        <w:t xml:space="preserve">Ботинки кожаные с защитным подноском PERFECT PROTECTION-КЕВЛАР»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предложен тип подошвы: двухслойная (требуется -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трехслойная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);</w:t>
      </w:r>
    </w:p>
    <w:p>
      <w:pPr>
        <w:pStyle w:val="Normal"/>
        <w:spacing w:before="0" w:after="0"/>
        <w:ind w:left="0" w:right="0" w:firstLine="360"/>
        <w:rPr/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- по позиции 13 технического предложения (по позициям 105-110 технического задания) «</w:t>
      </w:r>
      <w:r>
        <w:rPr>
          <w:rFonts w:eastAsia="Times New Roman" w:cs="Times New Roman" w:ascii="Times New Roman" w:hAnsi="Times New Roman"/>
          <w:bCs/>
          <w:color w:val="auto"/>
          <w:sz w:val="22"/>
          <w:szCs w:val="22"/>
          <w:lang w:val="ru-RU" w:bidi="ar-SA"/>
        </w:rPr>
        <w:t xml:space="preserve">Сапоги кожаные с защитным подноском Премиум арт. 9218К»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предложен тип подошвы: двухслойная (требуется -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трехслойная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);</w:t>
      </w:r>
    </w:p>
    <w:p>
      <w:pPr>
        <w:pStyle w:val="Normal"/>
        <w:spacing w:before="0" w:after="0"/>
        <w:ind w:left="0" w:right="0" w:firstLine="360"/>
        <w:rPr/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позиции 16 технического предложения (по позициям 128-137 технического задания) «Сапоги резиновые с жестким подноском Сапоги Специалист арт. 165-05МП Сапоги  Премиум арт. 265-01МП (жен)» предложен тип подноска: металлический (требуется —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композитный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).</w:t>
      </w:r>
    </w:p>
    <w:p>
      <w:pPr>
        <w:pStyle w:val="Normal"/>
        <w:keepLines w:val="false"/>
        <w:widowControl w:val="false"/>
        <w:spacing w:before="12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«за» – __</w:t>
      </w:r>
      <w:r>
        <w:rPr>
          <w:rFonts w:eastAsia="Calibri" w:cs="Times New Roman" w:ascii="Times New Roman" w:hAnsi="Times New Roman"/>
          <w:sz w:val="24"/>
          <w:szCs w:val="24"/>
        </w:rPr>
        <w:t>9</w:t>
      </w:r>
      <w:r>
        <w:rPr>
          <w:rFonts w:eastAsia="Calibri" w:cs="Times New Roman" w:ascii="Times New Roman" w:hAnsi="Times New Roman"/>
          <w:sz w:val="24"/>
          <w:szCs w:val="24"/>
        </w:rPr>
        <w:t>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/-ов;</w:t>
      </w: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«против» – _0__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</w:t>
      </w:r>
      <w:r>
        <w:rPr>
          <w:rFonts w:eastAsia="Calibri"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«воздержался» – __0__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</w:t>
      </w:r>
      <w:r>
        <w:rPr>
          <w:rFonts w:cs="Times New Roman" w:ascii="Times New Roman" w:hAnsi="Times New Roman"/>
          <w:bCs/>
          <w:sz w:val="24"/>
          <w:szCs w:val="24"/>
        </w:rPr>
        <w:t>.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4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keepLines/>
        <w:widowControl/>
        <w:numPr>
          <w:ilvl w:val="0"/>
          <w:numId w:val="0"/>
        </w:numPr>
        <w:tabs>
          <w:tab w:val="clear" w:pos="708"/>
          <w:tab w:val="left" w:pos="913" w:leader="none"/>
        </w:tabs>
        <w:suppressAutoHyphens w:val="true"/>
        <w:bidi w:val="0"/>
        <w:spacing w:before="113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в соответствии с подпунктами а) «</w:t>
      </w:r>
      <w:r>
        <w:rPr>
          <w:rFonts w:cs="Times New Roman" w:ascii="Times New Roman" w:hAnsi="Times New Roman"/>
          <w:bCs/>
          <w:sz w:val="24"/>
          <w:szCs w:val="24"/>
        </w:rPr>
        <w:t>несоответствие первой части заявки по составу и содержанию, в том числе представленного технического предложения»</w:t>
      </w:r>
      <w:r>
        <w:rPr>
          <w:rFonts w:cs="Times New Roman" w:ascii="Times New Roman" w:hAnsi="Times New Roman"/>
          <w:sz w:val="24"/>
          <w:szCs w:val="24"/>
        </w:rPr>
        <w:t xml:space="preserve"> б) «</w:t>
      </w:r>
      <w:r>
        <w:rPr>
          <w:rFonts w:cs="Times New Roman" w:ascii="Times New Roman" w:hAnsi="Times New Roman"/>
          <w:bCs/>
          <w:sz w:val="24"/>
          <w:szCs w:val="24"/>
        </w:rPr>
        <w:t>несоответствие продукции, указанной в заявке на участие в аукционе, требованиям  документации»</w:t>
      </w:r>
      <w:r>
        <w:rPr>
          <w:rFonts w:cs="Times New Roman" w:ascii="Times New Roman" w:hAnsi="Times New Roman"/>
          <w:sz w:val="24"/>
          <w:szCs w:val="24"/>
        </w:rPr>
        <w:t xml:space="preserve"> пункта 8.10 части 2 закупочной документации, а именно: </w:t>
      </w:r>
    </w:p>
    <w:p>
      <w:pPr>
        <w:pStyle w:val="Normal"/>
        <w:keepLines w:val="false"/>
        <w:widowControl w:val="false"/>
        <w:bidi w:val="0"/>
        <w:spacing w:before="113" w:after="0"/>
        <w:ind w:left="0" w:right="0" w:firstLine="340"/>
        <w:jc w:val="both"/>
        <w:rPr>
          <w:rFonts w:ascii="Times New Roman" w:hAnsi="Times New Roman" w:cs="Times New Roman"/>
          <w:bCs/>
          <w:shd w:fill="auto" w:val="clear"/>
        </w:rPr>
      </w:pPr>
      <w:r>
        <w:rPr>
          <w:rFonts w:cs="Times New Roman" w:ascii="Times New Roman" w:hAnsi="Times New Roman"/>
        </w:rPr>
        <w:t xml:space="preserve">1) в техническом предложении </w:t>
      </w:r>
      <w:r>
        <w:rPr>
          <w:rFonts w:cs="Times New Roman" w:ascii="Times New Roman" w:hAnsi="Times New Roman"/>
          <w:bCs/>
        </w:rPr>
        <w:t xml:space="preserve">(Форма 2) </w:t>
      </w:r>
      <w:r>
        <w:rPr>
          <w:rFonts w:cs="Times New Roman" w:ascii="Times New Roman" w:hAnsi="Times New Roman"/>
        </w:rPr>
        <w:t xml:space="preserve">отсутствует информация о </w:t>
      </w:r>
      <w:r>
        <w:rPr>
          <w:rFonts w:cs="Times New Roman" w:ascii="Times New Roman" w:hAnsi="Times New Roman"/>
          <w:bCs/>
        </w:rPr>
        <w:t xml:space="preserve">характеристиках (потребительских свойствах) </w:t>
      </w:r>
      <w:r>
        <w:rPr>
          <w:rFonts w:cs="Times New Roman" w:ascii="Times New Roman" w:hAnsi="Times New Roman"/>
        </w:rPr>
        <w:t xml:space="preserve">предлагаемого к поставке товара, </w:t>
      </w:r>
      <w:r>
        <w:rPr>
          <w:rFonts w:cs="Times New Roman" w:ascii="Times New Roman" w:hAnsi="Times New Roman"/>
          <w:bCs/>
        </w:rPr>
        <w:t>а именно:</w:t>
      </w:r>
    </w:p>
    <w:p>
      <w:pPr>
        <w:pStyle w:val="Normal"/>
        <w:widowControl w:val="false"/>
        <w:bidi w:val="0"/>
        <w:spacing w:before="0" w:after="0"/>
        <w:ind w:left="0" w:right="0" w:firstLine="34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ru-RU" w:bidi="ar-SA"/>
        </w:rPr>
      </w:pPr>
      <w:r>
        <w:rPr>
          <w:rFonts w:cs="Times New Roman" w:ascii="Times New Roman" w:hAnsi="Times New Roman"/>
          <w:bCs/>
          <w:shd w:fill="auto" w:val="clear"/>
        </w:rPr>
        <w:t xml:space="preserve">- отсутствует информация </w:t>
      </w:r>
      <w:r>
        <w:rPr>
          <w:rFonts w:cs="Times New Roman" w:ascii="Times New Roman" w:hAnsi="Times New Roman"/>
          <w:b w:val="false"/>
          <w:bCs/>
          <w:sz w:val="24"/>
          <w:szCs w:val="24"/>
          <w:shd w:fill="auto" w:val="clear"/>
        </w:rPr>
        <w:t xml:space="preserve">о наличии водоупорности и </w:t>
      </w:r>
      <w:r>
        <w:rPr>
          <w:rFonts w:cs="Times New Roman" w:ascii="Times New Roman" w:hAnsi="Times New Roman"/>
          <w:bCs/>
          <w:shd w:fill="auto" w:val="clear"/>
        </w:rPr>
        <w:t xml:space="preserve">о соответствии ГОСТ Р 12.4.288-2013,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ТР ТС 019/2011 по позиции 6 технического предложения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(по позициям 44-49 технического задания)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>.</w:t>
      </w:r>
    </w:p>
    <w:p>
      <w:pPr>
        <w:pStyle w:val="Normal"/>
        <w:spacing w:before="113" w:after="0"/>
        <w:ind w:left="0" w:right="0" w:firstLine="360"/>
        <w:rPr>
          <w:rFonts w:ascii="Times New Roman" w:hAnsi="Times New Roman" w:eastAsia="Times New Roman" w:cs="Times New Roman"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>2) несоответствие предлагаемого товара техническому заданию закупочной документации, а именно:</w:t>
      </w:r>
    </w:p>
    <w:p>
      <w:pPr>
        <w:pStyle w:val="Normal"/>
        <w:spacing w:before="0" w:after="0"/>
        <w:ind w:left="0" w:right="0" w:firstLine="360"/>
        <w:rPr/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- по позиции 17 технического предложения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(по позиции 138 технического задания)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предложен «Костюм для защиты от нефти и нефтепродуктов» (требуется -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каска защитная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>).</w:t>
      </w:r>
    </w:p>
    <w:p>
      <w:pPr>
        <w:pStyle w:val="Normal"/>
        <w:keepLines w:val="false"/>
        <w:widowControl w:val="false"/>
        <w:spacing w:before="120" w:after="0"/>
        <w:rPr>
          <w:rFonts w:ascii="Times New Roman" w:hAnsi="Times New Roman" w:eastAsia="Calibri" w:cs="Times New Roman"/>
          <w:color w:val="auto"/>
          <w:sz w:val="24"/>
          <w:szCs w:val="24"/>
          <w:lang w:val="ru-RU" w:bidi="ar-SA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 xml:space="preserve">Результаты голосования членов закупочной комиссии: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color w:val="auto"/>
          <w:sz w:val="24"/>
          <w:szCs w:val="24"/>
          <w:lang w:val="ru-RU" w:bidi="ar-SA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«за» – __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9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_ голоса/</w:t>
      </w:r>
      <w:r>
        <w:rPr>
          <w:rFonts w:eastAsia="Calibri" w:cs="Times New Roman" w:ascii="Times New Roman" w:hAnsi="Times New Roman"/>
          <w:b/>
          <w:bCs/>
          <w:i/>
          <w:iCs/>
          <w:color w:val="auto"/>
          <w:sz w:val="24"/>
          <w:szCs w:val="24"/>
          <w:lang w:val="ru-RU" w:bidi="ar-SA"/>
        </w:rPr>
        <w:t>-ов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 xml:space="preserve">;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color w:val="auto"/>
          <w:sz w:val="24"/>
          <w:szCs w:val="24"/>
          <w:lang w:val="ru-RU" w:bidi="ar-SA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«против» – _0__ голоса/</w:t>
      </w:r>
      <w:r>
        <w:rPr>
          <w:rFonts w:eastAsia="Calibri" w:cs="Times New Roman" w:ascii="Times New Roman" w:hAnsi="Times New Roman"/>
          <w:b/>
          <w:bCs/>
          <w:i/>
          <w:iCs/>
          <w:color w:val="auto"/>
          <w:sz w:val="24"/>
          <w:szCs w:val="24"/>
          <w:lang w:val="ru-RU" w:bidi="ar-SA"/>
        </w:rPr>
        <w:t>-ов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 xml:space="preserve">; </w:t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«воздержался» – __0__ голоса/</w:t>
      </w:r>
      <w:r>
        <w:rPr>
          <w:rFonts w:eastAsia="Calibri" w:cs="Times New Roman" w:ascii="Times New Roman" w:hAnsi="Times New Roman"/>
          <w:b/>
          <w:bCs/>
          <w:i/>
          <w:iCs/>
          <w:color w:val="auto"/>
          <w:sz w:val="24"/>
          <w:szCs w:val="24"/>
          <w:lang w:val="ru-RU" w:bidi="ar-SA"/>
        </w:rPr>
        <w:t>-ов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.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5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keepLines/>
        <w:widowControl/>
        <w:numPr>
          <w:ilvl w:val="0"/>
          <w:numId w:val="0"/>
        </w:numPr>
        <w:tabs>
          <w:tab w:val="clear" w:pos="708"/>
          <w:tab w:val="left" w:pos="913" w:leader="none"/>
        </w:tabs>
        <w:suppressAutoHyphens w:val="true"/>
        <w:bidi w:val="0"/>
        <w:spacing w:before="113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в соответствии с подпунктом б) «</w:t>
      </w:r>
      <w:r>
        <w:rPr>
          <w:rFonts w:cs="Times New Roman" w:ascii="Times New Roman" w:hAnsi="Times New Roman"/>
          <w:bCs/>
          <w:sz w:val="24"/>
          <w:szCs w:val="24"/>
        </w:rPr>
        <w:t>несоответствие продукции, указанной в заявке на участие в аукционе, требованиям  документации»</w:t>
      </w:r>
      <w:r>
        <w:rPr>
          <w:rFonts w:cs="Times New Roman" w:ascii="Times New Roman" w:hAnsi="Times New Roman"/>
          <w:sz w:val="24"/>
          <w:szCs w:val="24"/>
        </w:rPr>
        <w:t xml:space="preserve"> пункта 8.10 части 2 закупочной документации, а именно: </w:t>
      </w:r>
    </w:p>
    <w:p>
      <w:pPr>
        <w:pStyle w:val="Normal"/>
        <w:spacing w:before="113" w:after="0"/>
        <w:ind w:left="0" w:right="0" w:firstLine="360"/>
        <w:rPr>
          <w:rFonts w:ascii="Times New Roman" w:hAnsi="Times New Roman" w:eastAsia="Times New Roman" w:cs="Times New Roman"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1)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несоответствие характеристик предлагаемого к поставке товара в техническом предложении Участника (Форма 2) требуемым характеристикам, указанным в техническом задании (Том 2) закупочной документации, а именно:</w:t>
      </w:r>
    </w:p>
    <w:p>
      <w:pPr>
        <w:pStyle w:val="Normal"/>
        <w:spacing w:before="113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-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по позициям 1-12 технического предло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4"/>
          <w:szCs w:val="24"/>
          <w:lang w:val="ru-RU" w:bidi="ar-SA"/>
        </w:rPr>
        <w:t xml:space="preserve">жения «Костюм ТРУД-Н с/о цв. вас. тк. смесовая»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предложена плотность ткани: 235 г/м² (требуется — плотность ткани: 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240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г/м².);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- по позициям 13-27 технического предло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4"/>
          <w:szCs w:val="24"/>
          <w:lang w:val="ru-RU" w:bidi="ar-SA"/>
        </w:rPr>
        <w:t xml:space="preserve">жения «Костюм АСФАЛЬТ МАСТЕР цв.орж-флр-т-син.» 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предложен - состав ткани: полиэфир 62%, хлопок 38%, плотность 235 г/м² (требуется - хлопок от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40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 до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50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%; полиэфир от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50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 до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60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%, плотность: не менее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245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г/м².);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позициям 50-57 технического предложения «Жилет сигнальный ЭЛЕКТРА ГАБАРИТ FR» предложен - состав ткани:  PolyProtect FR 210 (60% арамид, 40% ПЭFR, антистатическая нить, НМВО отделка, 210 гр/м2) (требуется - полиэфир –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45% – 55%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; хлопок –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45% – 55%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; плотность ткани: не менее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300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 г/м²);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позиции 59 технического предложения «Туфли САБО 0101-11 цв. бел.мет.подн.200 Дж ПУ (39)» предложен верх обуви: композиционная кожа «Лорика» (требуется —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натуральная кожа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позициям 83-99 технического предложения «Ботинки ФОРВЕЛД 3 КП кож. цв.чер. композит 200Дж ПУ/Нитрил РЕСТ» предложен тип подошвы: двухслойная (требуется —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трехслойная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позициям 100-104 технического предложения «Ботинки ТОПГАРД 1 КпПКЩ арт. 11109 цв.чер. композит 200Дж Нитрил» предложен тип подошвы: однослойная (требуется —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двухслойная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позициям 105-110 технического предложения «Сапоги ФОРВЕЛД 5КП кож. цв.чер. композит 200Дж ПУ/Нитрил» предложен тип подошвы: двухслойная (требуется —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трехслойная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);</w:t>
      </w:r>
    </w:p>
    <w:p>
      <w:pPr>
        <w:pStyle w:val="Normal"/>
        <w:spacing w:before="0" w:after="0"/>
        <w:ind w:left="0" w:right="0" w:firstLine="360"/>
        <w:rPr>
          <w:rFonts w:ascii="Times New Roman" w:hAnsi="Times New Roman" w:eastAsia="Calibri" w:cs="Times New Roman"/>
          <w:color w:val="auto"/>
          <w:sz w:val="24"/>
          <w:szCs w:val="24"/>
          <w:lang w:val="ru-RU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 xml:space="preserve">- по позициям 111-115 технического предложения «Сапоги ТОПГАРД 1 КпЭПКЩ арт. 11112 цв.чер. композит 200Дж Нитрил» предложен тип подошвы: однослойная (требуется —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ru-RU" w:bidi="ar-SA"/>
        </w:rPr>
        <w:t>двухслойная</w:t>
      </w:r>
      <w:r>
        <w:rPr>
          <w:rFonts w:eastAsia="Times New Roman" w:cs="Times New Roman" w:ascii="Times New Roman" w:hAnsi="Times New Roman"/>
          <w:bCs/>
          <w:color w:val="auto"/>
          <w:sz w:val="24"/>
          <w:szCs w:val="24"/>
          <w:lang w:val="ru-RU" w:bidi="ar-SA"/>
        </w:rPr>
        <w:t>).</w:t>
      </w:r>
    </w:p>
    <w:p>
      <w:pPr>
        <w:pStyle w:val="Normal"/>
        <w:keepLines w:val="false"/>
        <w:widowControl w:val="false"/>
        <w:spacing w:before="120" w:after="0"/>
        <w:rPr>
          <w:rFonts w:ascii="Times New Roman" w:hAnsi="Times New Roman" w:eastAsia="Calibri" w:cs="Times New Roman"/>
          <w:color w:val="auto"/>
          <w:sz w:val="24"/>
          <w:szCs w:val="24"/>
          <w:lang w:val="ru-RU" w:bidi="ar-SA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 xml:space="preserve">Результаты голосования членов закупочной комиссии: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color w:val="auto"/>
          <w:sz w:val="24"/>
          <w:szCs w:val="24"/>
          <w:lang w:val="ru-RU" w:bidi="ar-SA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«за» – __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9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_ голоса/</w:t>
      </w:r>
      <w:r>
        <w:rPr>
          <w:rFonts w:eastAsia="Calibri" w:cs="Times New Roman" w:ascii="Times New Roman" w:hAnsi="Times New Roman"/>
          <w:b/>
          <w:bCs/>
          <w:i/>
          <w:iCs/>
          <w:color w:val="auto"/>
          <w:sz w:val="24"/>
          <w:szCs w:val="24"/>
          <w:lang w:val="ru-RU" w:bidi="ar-SA"/>
        </w:rPr>
        <w:t>-ов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 xml:space="preserve">; </w:t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  <w:color w:val="auto"/>
          <w:sz w:val="24"/>
          <w:szCs w:val="24"/>
          <w:lang w:val="ru-RU" w:bidi="ar-SA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«против» – _0__ голоса/</w:t>
      </w:r>
      <w:r>
        <w:rPr>
          <w:rFonts w:eastAsia="Calibri" w:cs="Times New Roman" w:ascii="Times New Roman" w:hAnsi="Times New Roman"/>
          <w:b/>
          <w:bCs/>
          <w:i/>
          <w:iCs/>
          <w:color w:val="auto"/>
          <w:sz w:val="24"/>
          <w:szCs w:val="24"/>
          <w:lang w:val="ru-RU" w:bidi="ar-SA"/>
        </w:rPr>
        <w:t>-ов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 xml:space="preserve">; </w:t>
      </w:r>
    </w:p>
    <w:p>
      <w:pPr>
        <w:pStyle w:val="Normal"/>
        <w:rPr>
          <w:rFonts w:ascii="Times New Roman" w:hAnsi="Times New Roman" w:eastAsia="Calibri" w:cs="Times New Roman"/>
          <w:i/>
          <w:i/>
          <w:iCs/>
          <w:sz w:val="24"/>
          <w:szCs w:val="24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«воздержался» – __0__ голоса/</w:t>
      </w:r>
      <w:r>
        <w:rPr>
          <w:rFonts w:eastAsia="Calibri" w:cs="Times New Roman" w:ascii="Times New Roman" w:hAnsi="Times New Roman"/>
          <w:b/>
          <w:bCs/>
          <w:i/>
          <w:iCs/>
          <w:color w:val="auto"/>
          <w:sz w:val="24"/>
          <w:szCs w:val="24"/>
          <w:lang w:val="ru-RU" w:bidi="ar-SA"/>
        </w:rPr>
        <w:t>-ов</w:t>
      </w: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.</w:t>
      </w:r>
    </w:p>
    <w:p>
      <w:pPr>
        <w:pStyle w:val="Normal"/>
        <w:widowControl w:val="false"/>
        <w:spacing w:before="24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i/>
          <w:iCs/>
          <w:sz w:val="24"/>
          <w:szCs w:val="24"/>
        </w:rPr>
        <w:t>Количество отклоненных заявок участников</w:t>
      </w:r>
      <w:r>
        <w:rPr>
          <w:rFonts w:cs="Times New Roman" w:ascii="Times New Roman" w:hAnsi="Times New Roman"/>
          <w:i/>
          <w:iCs/>
          <w:sz w:val="24"/>
          <w:szCs w:val="24"/>
        </w:rPr>
        <w:t>: _</w:t>
      </w:r>
      <w:r>
        <w:rPr>
          <w:rFonts w:cs="Times New Roman" w:ascii="Times New Roman" w:hAnsi="Times New Roman"/>
          <w:i/>
          <w:iCs/>
          <w:sz w:val="24"/>
          <w:szCs w:val="24"/>
          <w:lang w:val="en-US"/>
        </w:rPr>
        <w:t>4</w:t>
      </w:r>
      <w:r>
        <w:rPr>
          <w:rFonts w:cs="Times New Roman" w:ascii="Times New Roman" w:hAnsi="Times New Roman"/>
          <w:i/>
          <w:iCs/>
          <w:sz w:val="24"/>
          <w:szCs w:val="24"/>
        </w:rPr>
        <w:t>__.</w:t>
      </w:r>
    </w:p>
    <w:p>
      <w:pPr>
        <w:pStyle w:val="Normal"/>
        <w:widowControl w:val="false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Calibri" w:cs="Times New Roman" w:ascii="Times New Roman" w:hAnsi="Times New Roman"/>
          <w:color w:val="auto"/>
          <w:sz w:val="24"/>
          <w:szCs w:val="24"/>
          <w:lang w:val="ru-RU" w:bidi="ar-SA"/>
        </w:rPr>
        <w:t>В связи с тем, что по результатам рассмотрения первых частей заявок на участие в аукционе принято решение о допуске только одного участника аукциона, в соответствии с пунктом б) части 1.2 статьи 6.4 ЕОСЗ аукцион признан несостоявшимся.</w:t>
      </w:r>
    </w:p>
    <w:p>
      <w:pPr>
        <w:pStyle w:val="Normal"/>
        <w:widowControl w:val="false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  <w:r>
        <w:br w:type="page"/>
      </w:r>
    </w:p>
    <w:p>
      <w:pPr>
        <w:pStyle w:val="Normal"/>
        <w:widowControl w:val="false"/>
        <w:tabs>
          <w:tab w:val="clear" w:pos="708"/>
          <w:tab w:val="left" w:pos="567" w:leader="none"/>
        </w:tabs>
        <w:spacing w:before="120" w:after="12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  <w:u w:val="single"/>
        </w:rPr>
        <w:t xml:space="preserve">Закупочная комиссия: </w:t>
      </w:r>
    </w:p>
    <w:p>
      <w:pPr>
        <w:pStyle w:val="Normal"/>
        <w:ind w:left="0" w:right="0" w:firstLine="56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подтверждает объективность принимаемых решений;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заявляет об отсутствии личной заинтересованности в исходе закупки;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принимает на себя обязательства:</w:t>
      </w:r>
    </w:p>
    <w:p>
      <w:pPr>
        <w:pStyle w:val="Normal"/>
        <w:ind w:left="0" w:right="0" w:firstLine="56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ind w:left="0" w:right="0" w:firstLine="567"/>
        <w:rPr>
          <w:rFonts w:ascii="Times New Roman" w:hAnsi="Times New Roman" w:eastAsia="Times New Roman" w:cs="Times New Roman"/>
          <w:color w:val="auto"/>
          <w:sz w:val="20"/>
          <w:szCs w:val="20"/>
          <w:lang w:val="ru-RU" w:bidi="ar-SA"/>
        </w:rPr>
      </w:pPr>
      <w:r>
        <w:rPr>
          <w:rFonts w:cs="Times New Roman" w:ascii="Times New Roman" w:hAnsi="Times New Roman"/>
          <w:sz w:val="20"/>
          <w:szCs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ind w:left="0" w:right="0"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bidi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2" w:type="dxa"/>
          <w:bottom w:w="0" w:type="dxa"/>
          <w:right w:w="12" w:type="dxa"/>
        </w:tblCellMar>
      </w:tblPr>
      <w:tblGrid>
        <w:gridCol w:w="2513"/>
        <w:gridCol w:w="5580"/>
        <w:gridCol w:w="1942"/>
      </w:tblGrid>
      <w:tr>
        <w:trPr/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А.Ю. Марков</w:t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Члены закупочной комиссии:</w:t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b/>
                <w:bCs/>
              </w:rPr>
              <w:t xml:space="preserve">Секретарь закупочной комиссии (с </w:t>
            </w:r>
            <w:r>
              <w:rPr>
                <w:rFonts w:cs="Times New Roman" w:ascii="Times New Roman" w:hAnsi="Times New Roman"/>
                <w:b/>
                <w:i/>
              </w:rPr>
              <w:t>правом голоса</w:t>
            </w:r>
            <w:r>
              <w:rPr>
                <w:rFonts w:cs="Times New Roman" w:ascii="Times New Roman" w:hAnsi="Times New Roman"/>
                <w:b/>
                <w:bCs/>
              </w:rPr>
              <w:t>):</w:t>
            </w:r>
          </w:p>
        </w:tc>
      </w:tr>
      <w:tr>
        <w:trPr>
          <w:trHeight w:val="567" w:hRule="atLeast"/>
        </w:trPr>
        <w:tc>
          <w:tcPr>
            <w:tcW w:w="251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Е.О. Сорокина</w:t>
            </w:r>
          </w:p>
        </w:tc>
        <w:tc>
          <w:tcPr>
            <w:tcW w:w="5580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</w:rPr>
              <w:t>Специалист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Юрисконсульт отдела закупок _________________ Н.Н.Ридфинс</w:t>
      </w:r>
    </w:p>
    <w:p>
      <w:pPr>
        <w:pStyle w:val="Normal"/>
        <w:keepLines w:val="false"/>
        <w:widowControl w:val="false"/>
        <w:spacing w:before="170" w:after="0"/>
        <w:rPr/>
      </w:pPr>
      <w:r>
        <w:rPr>
          <w:rFonts w:eastAsia="Calibri" w:cs="Times New Roman" w:ascii="Times New Roman" w:hAnsi="Times New Roman"/>
        </w:rPr>
        <w:t>Специалист отдела закупок  ____________Хмелевская М.М.</w:t>
      </w:r>
    </w:p>
    <w:sectPr>
      <w:footerReference w:type="default" r:id="rId5"/>
      <w:type w:val="nextPage"/>
      <w:pgSz w:w="11906" w:h="16838"/>
      <w:pgMar w:left="1134" w:right="737" w:gutter="0" w:header="0" w:top="709" w:footer="467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Arial (WT)">
    <w:altName w:val="Arial"/>
    <w:charset w:val="01"/>
    <w:family w:val="roman"/>
    <w:pitch w:val="default"/>
  </w:font>
  <w:font w:name="Tahoma">
    <w:charset w:val="01"/>
    <w:family w:val="roman"/>
    <w:pitch w:val="default"/>
  </w:font>
  <w:font w:name="Book Antiqua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color w:val="auto"/>
        <w:sz w:val="18"/>
        <w:szCs w:val="18"/>
        <w:lang w:val="ru-RU" w:bidi="ar-SA"/>
      </w:rPr>
    </w:pPr>
    <w:r>
      <w:rPr>
        <w:rFonts w:eastAsia="Times New Roman" w:cs="Times New Roman" w:ascii="Times New Roman" w:hAnsi="Times New Roman"/>
        <w:color w:val="auto"/>
        <w:sz w:val="18"/>
        <w:szCs w:val="18"/>
        <w:lang w:val="ru-RU" w:bidi="ar-SA"/>
      </w:rPr>
      <w:t>ПРОТОКОЛ № 32414185572/1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color w:val="auto"/>
        <w:sz w:val="18"/>
        <w:szCs w:val="18"/>
        <w:lang w:val="ru-RU" w:eastAsia="zh-CN" w:bidi="ar-SA"/>
      </w:rPr>
    </w:pPr>
    <w:r>
      <w:rPr>
        <w:rFonts w:eastAsia="Times New Roman" w:cs="Times New Roman" w:ascii="Times New Roman" w:hAnsi="Times New Roman"/>
        <w:color w:val="auto"/>
        <w:sz w:val="18"/>
        <w:szCs w:val="18"/>
        <w:lang w:val="ru-RU" w:eastAsia="zh-CN" w:bidi="ar-SA"/>
      </w:rPr>
      <w:t>заседания закупочной комиссии по рассмотрению первых частей заявок по открытому аукциону в электронной форме на право заключения договора на поставку летней специальной одежды, специальной обуви и других средств индивидуальной защиты</w:t>
    </w:r>
  </w:p>
  <w:p>
    <w:pPr>
      <w:pStyle w:val="Style31"/>
      <w:jc w:val="center"/>
      <w:rPr/>
    </w:pPr>
    <w:r>
      <w:rPr>
        <w:rFonts w:cs="Times New Roman" w:ascii="Times New Roman" w:hAnsi="Times New Roman"/>
        <w:sz w:val="18"/>
        <w:szCs w:val="18"/>
      </w:rPr>
      <w:t xml:space="preserve">Страница </w:t>
    </w:r>
    <w:r>
      <w:rPr>
        <w:rFonts w:cs="Times New Roman" w:ascii="Times New Roman" w:hAnsi="Times New Roman"/>
        <w:bCs/>
        <w:sz w:val="18"/>
        <w:szCs w:val="18"/>
      </w:rPr>
      <w:fldChar w:fldCharType="begin"/>
    </w:r>
    <w:r>
      <w:rPr>
        <w:sz w:val="18"/>
        <w:szCs w:val="18"/>
        <w:bCs/>
        <w:rFonts w:cs="Times New Roman" w:ascii="Times New Roman" w:hAnsi="Times New Roman"/>
      </w:rPr>
      <w:instrText xml:space="preserve"> PAGE </w:instrText>
    </w:r>
    <w:r>
      <w:rPr>
        <w:sz w:val="18"/>
        <w:szCs w:val="18"/>
        <w:bCs/>
        <w:rFonts w:cs="Times New Roman" w:ascii="Times New Roman" w:hAnsi="Times New Roman"/>
      </w:rPr>
      <w:fldChar w:fldCharType="separate"/>
    </w:r>
    <w:r>
      <w:rPr>
        <w:sz w:val="18"/>
        <w:szCs w:val="18"/>
        <w:bCs/>
        <w:rFonts w:cs="Times New Roman" w:ascii="Times New Roman" w:hAnsi="Times New Roman"/>
      </w:rPr>
      <w:t>8</w:t>
    </w:r>
    <w:r>
      <w:rPr>
        <w:sz w:val="18"/>
        <w:szCs w:val="18"/>
        <w:bCs/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  <w:sz w:val="18"/>
        <w:szCs w:val="18"/>
      </w:rPr>
      <w:t xml:space="preserve"> из </w:t>
    </w:r>
    <w:r>
      <w:rPr>
        <w:rFonts w:cs="Times New Roman" w:ascii="Times New Roman" w:hAnsi="Times New Roman"/>
        <w:bCs/>
        <w:sz w:val="18"/>
        <w:szCs w:val="18"/>
      </w:rPr>
      <w:fldChar w:fldCharType="begin"/>
    </w:r>
    <w:r>
      <w:rPr>
        <w:sz w:val="18"/>
        <w:szCs w:val="18"/>
        <w:bCs/>
        <w:rFonts w:cs="Times New Roman" w:ascii="Times New Roman" w:hAnsi="Times New Roman"/>
      </w:rPr>
      <w:instrText xml:space="preserve"> NUMPAGES </w:instrText>
    </w:r>
    <w:r>
      <w:rPr>
        <w:sz w:val="18"/>
        <w:szCs w:val="18"/>
        <w:bCs/>
        <w:rFonts w:cs="Times New Roman" w:ascii="Times New Roman" w:hAnsi="Times New Roman"/>
      </w:rPr>
      <w:fldChar w:fldCharType="separate"/>
    </w:r>
    <w:r>
      <w:rPr>
        <w:sz w:val="18"/>
        <w:szCs w:val="18"/>
        <w:bCs/>
        <w:rFonts w:cs="Times New Roman" w:ascii="Times New Roman" w:hAnsi="Times New Roman"/>
      </w:rPr>
      <w:t>8</w:t>
    </w:r>
    <w:r>
      <w:rPr>
        <w:sz w:val="18"/>
        <w:szCs w:val="18"/>
        <w:bCs/>
        <w:rFonts w:cs="Times New Roman"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/>
        <w:kern w:val="0"/>
        <w:iCs w:val="false"/>
        <w:bCs w:val="false"/>
        <w:em w:val="none"/>
        <w:vanish w:val="false"/>
        <w:rFonts w:cs="Times New Roman"/>
      </w:rPr>
    </w:lvl>
    <w:lvl w:ilvl="1">
      <w:start w:val="1"/>
      <w:pStyle w:val="2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/>
        <w:kern w:val="0"/>
        <w:szCs w:val="28"/>
        <w:iCs w:val="false"/>
        <w:bCs/>
        <w:w w:val="100"/>
        <w:vanish w:val="false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 w:val="false"/>
        <w:kern w:val="0"/>
        <w:szCs w:val="28"/>
        <w:iCs w:val="false"/>
        <w:bCs w:val="false"/>
        <w:w w:val="100"/>
        <w:vanish w:val="false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/>
        <w:kern w:val="0"/>
        <w:iCs w:val="false"/>
        <w:bCs w:val="false"/>
        <w:em w:val="none"/>
        <w:vanish w:val="false"/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/>
        <w:kern w:val="0"/>
        <w:szCs w:val="28"/>
        <w:iCs w:val="false"/>
        <w:bCs/>
        <w:w w:val="100"/>
        <w:vanish w:val="false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 w:val="false"/>
        <w:kern w:val="0"/>
        <w:szCs w:val="28"/>
        <w:iCs w:val="false"/>
        <w:bCs w:val="false"/>
        <w:w w:val="100"/>
        <w:vanish w:val="false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sz w:val="24"/>
        <w:szCs w:val="24"/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sz w:val="24"/>
        <w:szCs w:val="24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sz w:val="24"/>
        <w:szCs w:val="24"/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sz w:val="24"/>
        <w:szCs w:val="24"/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sz w:val="24"/>
        <w:szCs w:val="24"/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920" w:hanging="1440"/>
      </w:pPr>
      <w:rPr>
        <w:sz w:val="24"/>
        <w:szCs w:val="24"/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sz w:val="24"/>
        <w:szCs w:val="24"/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sz w:val="24"/>
        <w:szCs w:val="24"/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jc w:val="left"/>
      <w:outlineLvl w:val="0"/>
    </w:pPr>
    <w:rPr>
      <w:rFonts w:ascii="Times New Roman" w:hAnsi="Times New Roman" w:cs="Times New Roman"/>
      <w:b/>
      <w:bCs/>
      <w:kern w:val="2"/>
      <w:sz w:val="28"/>
      <w:szCs w:val="40"/>
      <w:lang w:val="ru-RU"/>
    </w:rPr>
  </w:style>
  <w:style w:type="paragraph" w:styleId="2">
    <w:name w:val="Heading 2"/>
    <w:basedOn w:val="Normal"/>
    <w:next w:val="-3"/>
    <w:qFormat/>
    <w:pPr>
      <w:keepNext w:val="true"/>
      <w:keepLines w:val="false"/>
      <w:numPr>
        <w:ilvl w:val="1"/>
        <w:numId w:val="1"/>
      </w:numPr>
      <w:suppressAutoHyphens w:val="true"/>
      <w:jc w:val="left"/>
      <w:outlineLvl w:val="1"/>
    </w:pPr>
    <w:rPr>
      <w:rFonts w:ascii="Times New Roman" w:hAnsi="Times New Roman" w:cs="Times New Roman"/>
      <w:b/>
      <w:bCs/>
      <w:sz w:val="28"/>
      <w:szCs w:val="32"/>
      <w:lang w:val="ru-RU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b/>
      <w:bCs/>
      <w:sz w:val="28"/>
      <w:szCs w:val="26"/>
      <w:lang w:val="ru-RU"/>
    </w:rPr>
  </w:style>
  <w:style w:type="character" w:styleId="WW8Num1z0">
    <w:name w:val="WW8Num1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1">
    <w:name w:val="WW8Num1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1z2">
    <w:name w:val="WW8Num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3">
    <w:name w:val="WW8Num1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1z4">
    <w:name w:val="WW8Num1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5">
    <w:name w:val="WW8Num1z5"/>
    <w:qFormat/>
    <w:rPr/>
  </w:style>
  <w:style w:type="character" w:styleId="WW8Num2z0">
    <w:name w:val="WW8Num2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1">
    <w:name w:val="WW8Num2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z2">
    <w:name w:val="WW8Num2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3">
    <w:name w:val="WW8Num2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z4">
    <w:name w:val="WW8Num2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5">
    <w:name w:val="WW8Num2z5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1">
    <w:name w:val="WW8Num4z1"/>
    <w:qFormat/>
    <w:rPr>
      <w:rFonts w:ascii="Times New Roman" w:hAnsi="Times New Roman" w:eastAsia="Calibri" w:cs="Times New Roman"/>
      <w:sz w:val="24"/>
      <w:szCs w:val="24"/>
    </w:rPr>
  </w:style>
  <w:style w:type="character" w:styleId="WW8Num4z2">
    <w:name w:val="WW8Num4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4z3">
    <w:name w:val="WW8Num4z3"/>
    <w:qFormat/>
    <w:rPr>
      <w:rFonts w:ascii="Times New Roman" w:hAnsi="Times New Roman" w:eastAsia="Calibri" w:cs="Times New Roman"/>
      <w:sz w:val="28"/>
    </w:rPr>
  </w:style>
  <w:style w:type="character" w:styleId="WW8Num5z0">
    <w:name w:val="WW8Num5z0"/>
    <w:qFormat/>
    <w:rPr>
      <w:rFonts w:ascii="Symbol" w:hAnsi="Symbol" w:cs="Symbol"/>
      <w:sz w:val="20"/>
      <w:szCs w:val="20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1">
    <w:name w:val="WW8Num6z1"/>
    <w:qFormat/>
    <w:rPr>
      <w:rFonts w:ascii="Times New Roman" w:hAnsi="Times New Roman" w:eastAsia="Calibri" w:cs="Times New Roman"/>
      <w:sz w:val="24"/>
      <w:szCs w:val="24"/>
    </w:rPr>
  </w:style>
  <w:style w:type="character" w:styleId="WW8Num6z2">
    <w:name w:val="WW8Num6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6z3">
    <w:name w:val="WW8Num6z3"/>
    <w:qFormat/>
    <w:rPr>
      <w:rFonts w:ascii="Times New Roman" w:hAnsi="Times New Roman" w:eastAsia="Calibri" w:cs="Times New Roman"/>
      <w:sz w:val="28"/>
    </w:rPr>
  </w:style>
  <w:style w:type="character" w:styleId="WW8Num7z0">
    <w:name w:val="WW8Num7z0"/>
    <w:qFormat/>
    <w:rPr>
      <w:rFonts w:ascii="Symbol" w:hAnsi="Symbol" w:cs="Symbol"/>
      <w:sz w:val="20"/>
      <w:szCs w:val="20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>
      <w:rFonts w:ascii="Symbol" w:hAnsi="Symbol" w:cs="Symbol"/>
      <w:sz w:val="20"/>
      <w:szCs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/>
  </w:style>
  <w:style w:type="character" w:styleId="WW8Num12z0">
    <w:name w:val="WW8Num12z0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>
      <w:rFonts w:ascii="Times New Roman" w:hAnsi="Times New Roman" w:eastAsia="Calibri" w:cs="Times New Roman"/>
      <w:sz w:val="24"/>
      <w:szCs w:val="24"/>
    </w:rPr>
  </w:style>
  <w:style w:type="character" w:styleId="WW8Num13z2">
    <w:name w:val="WW8Num13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13z3">
    <w:name w:val="WW8Num13z3"/>
    <w:qFormat/>
    <w:rPr>
      <w:rFonts w:ascii="Times New Roman" w:hAnsi="Times New Roman" w:eastAsia="Calibri" w:cs="Times New Roman"/>
      <w:sz w:val="28"/>
    </w:rPr>
  </w:style>
  <w:style w:type="character" w:styleId="WW8Num14z0">
    <w:name w:val="WW8Num14z0"/>
    <w:qFormat/>
    <w:rPr>
      <w:b w:val="false"/>
    </w:rPr>
  </w:style>
  <w:style w:type="character" w:styleId="WW8Num14z1">
    <w:name w:val="WW8Num14z1"/>
    <w:qFormat/>
    <w:rPr/>
  </w:style>
  <w:style w:type="character" w:styleId="WW8Num15z0">
    <w:name w:val="WW8Num15z0"/>
    <w:qFormat/>
    <w:rPr>
      <w:rFonts w:ascii="Symbol" w:hAnsi="Symbol" w:cs="Symbol"/>
      <w:sz w:val="20"/>
      <w:szCs w:val="20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Times New Roman" w:hAnsi="Times New Roman" w:eastAsia="Times New Roman" w:cs="Times New Roman"/>
      <w:b w:val="false"/>
      <w:sz w:val="28"/>
      <w:szCs w:val="28"/>
    </w:rPr>
  </w:style>
  <w:style w:type="character" w:styleId="WW8Num16z1">
    <w:name w:val="WW8Num16z1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>
      <w:b w:val="false"/>
      <w:i w:val="false"/>
      <w:sz w:val="28"/>
      <w:szCs w:val="28"/>
    </w:rPr>
  </w:style>
  <w:style w:type="character" w:styleId="WW8Num17z2">
    <w:name w:val="WW8Num17z2"/>
    <w:qFormat/>
    <w:rPr>
      <w:rFonts w:ascii="Times New Roman" w:hAnsi="Times New Roman" w:cs="Times New Roman"/>
      <w:b w:val="false"/>
      <w:i w:val="false"/>
      <w:sz w:val="28"/>
      <w:szCs w:val="28"/>
    </w:rPr>
  </w:style>
  <w:style w:type="character" w:styleId="WW8Num17z3">
    <w:name w:val="WW8Num17z3"/>
    <w:qFormat/>
    <w:rPr>
      <w:sz w:val="28"/>
      <w:szCs w:val="28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b/>
    </w:rPr>
  </w:style>
  <w:style w:type="character" w:styleId="WW8Num19z3">
    <w:name w:val="WW8Num19z3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>
      <w:rFonts w:ascii="Times New Roman" w:hAnsi="Times New Roman" w:eastAsia="Calibri" w:cs="Times New Roman"/>
      <w:sz w:val="28"/>
    </w:rPr>
  </w:style>
  <w:style w:type="character" w:styleId="WW8Num21z0">
    <w:name w:val="WW8Num21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1">
    <w:name w:val="WW8Num21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1z2">
    <w:name w:val="WW8Num2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3">
    <w:name w:val="WW8Num21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1z4">
    <w:name w:val="WW8Num21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5">
    <w:name w:val="WW8Num21z5"/>
    <w:qFormat/>
    <w:rPr/>
  </w:style>
  <w:style w:type="character" w:styleId="WW8Num22z0">
    <w:name w:val="WW8Num22z0"/>
    <w:qFormat/>
    <w:rPr>
      <w:color w:val="000000"/>
    </w:rPr>
  </w:style>
  <w:style w:type="character" w:styleId="WW8Num23z0">
    <w:name w:val="WW8Num23z0"/>
    <w:qFormat/>
    <w:rPr>
      <w:rFonts w:ascii="Symbol" w:hAnsi="Symbol" w:cs="Symbol"/>
      <w:sz w:val="20"/>
    </w:rPr>
  </w:style>
  <w:style w:type="character" w:styleId="WW8Num23z1">
    <w:name w:val="WW8Num23z1"/>
    <w:qFormat/>
    <w:rPr>
      <w:rFonts w:ascii="Courier New" w:hAnsi="Courier New" w:cs="Courier New"/>
      <w:sz w:val="20"/>
    </w:rPr>
  </w:style>
  <w:style w:type="character" w:styleId="WW8Num23z2">
    <w:name w:val="WW8Num23z2"/>
    <w:qFormat/>
    <w:rPr>
      <w:rFonts w:ascii="Wingdings" w:hAnsi="Wingdings" w:cs="Wingdings"/>
      <w:sz w:val="20"/>
    </w:rPr>
  </w:style>
  <w:style w:type="character" w:styleId="WW8Num24z0">
    <w:name w:val="WW8Num24z0"/>
    <w:qFormat/>
    <w:rPr/>
  </w:style>
  <w:style w:type="character" w:styleId="WW8Num24z1">
    <w:name w:val="WW8Num24z1"/>
    <w:qFormat/>
    <w:rPr>
      <w:rFonts w:eastAsia="Times New Roman"/>
    </w:rPr>
  </w:style>
  <w:style w:type="character" w:styleId="WW8Num25z1">
    <w:name w:val="WW8Num25z1"/>
    <w:qFormat/>
    <w:rPr>
      <w:rFonts w:ascii="Times New Roman" w:hAnsi="Times New Roman" w:eastAsia="Calibri" w:cs="Times New Roman"/>
      <w:sz w:val="24"/>
      <w:szCs w:val="24"/>
    </w:rPr>
  </w:style>
  <w:style w:type="character" w:styleId="WW8Num25z2">
    <w:name w:val="WW8Num25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25z3">
    <w:name w:val="WW8Num25z3"/>
    <w:qFormat/>
    <w:rPr>
      <w:rFonts w:ascii="Times New Roman" w:hAnsi="Times New Roman" w:eastAsia="Calibri" w:cs="Times New Roman"/>
      <w:sz w:val="28"/>
    </w:rPr>
  </w:style>
  <w:style w:type="character" w:styleId="WW8Num26z0">
    <w:name w:val="WW8Num26z0"/>
    <w:qFormat/>
    <w:rPr>
      <w:rFonts w:ascii="Symbol" w:hAnsi="Symbol" w:cs="Symbol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7z0">
    <w:name w:val="WW8Num27z0"/>
    <w:qFormat/>
    <w:rPr>
      <w:b/>
    </w:rPr>
  </w:style>
  <w:style w:type="character" w:styleId="WW8Num27z2">
    <w:name w:val="WW8Num27z2"/>
    <w:qFormat/>
    <w:rPr>
      <w:b/>
      <w:i w:val="false"/>
    </w:rPr>
  </w:style>
  <w:style w:type="character" w:styleId="WW8Num28z0">
    <w:name w:val="WW8Num28z0"/>
    <w:qFormat/>
    <w:rPr>
      <w:rFonts w:ascii="Symbol" w:hAnsi="Symbol" w:cs="Symbol"/>
    </w:rPr>
  </w:style>
  <w:style w:type="character" w:styleId="WW8Num29z0">
    <w:name w:val="WW8Num29z0"/>
    <w:qFormat/>
    <w:rPr>
      <w:rFonts w:ascii="Symbol" w:hAnsi="Symbol" w:cs="Symbol"/>
      <w:sz w:val="20"/>
    </w:rPr>
  </w:style>
  <w:style w:type="character" w:styleId="WW8Num29z1">
    <w:name w:val="WW8Num29z1"/>
    <w:qFormat/>
    <w:rPr>
      <w:rFonts w:ascii="Courier New" w:hAnsi="Courier New" w:cs="Courier New"/>
      <w:sz w:val="20"/>
    </w:rPr>
  </w:style>
  <w:style w:type="character" w:styleId="WW8Num29z2">
    <w:name w:val="WW8Num29z2"/>
    <w:qFormat/>
    <w:rPr>
      <w:rFonts w:ascii="Wingdings" w:hAnsi="Wingdings" w:cs="Wingdings"/>
      <w:sz w:val="20"/>
    </w:rPr>
  </w:style>
  <w:style w:type="character" w:styleId="WW8Num30z0">
    <w:name w:val="WW8Num30z0"/>
    <w:qFormat/>
    <w:rPr>
      <w:rFonts w:ascii="Times New Roman" w:hAnsi="Times New Roman" w:cs="Times New Roman"/>
      <w:sz w:val="24"/>
      <w:szCs w:val="24"/>
    </w:rPr>
  </w:style>
  <w:style w:type="character" w:styleId="WW8Num30z1">
    <w:name w:val="WW8Num30z1"/>
    <w:qFormat/>
    <w:rPr>
      <w:rFonts w:ascii="Times New Roman" w:hAnsi="Times New Roman" w:cs="Times New Roman"/>
      <w:sz w:val="24"/>
      <w:szCs w:val="24"/>
    </w:rPr>
  </w:style>
  <w:style w:type="character" w:styleId="WW8Num31z1">
    <w:name w:val="WW8Num31z1"/>
    <w:qFormat/>
    <w:rPr>
      <w:rFonts w:ascii="Times New Roman" w:hAnsi="Times New Roman" w:eastAsia="Calibri" w:cs="Times New Roman"/>
      <w:sz w:val="24"/>
      <w:szCs w:val="24"/>
    </w:rPr>
  </w:style>
  <w:style w:type="character" w:styleId="WW8Num31z2">
    <w:name w:val="WW8Num31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31z3">
    <w:name w:val="WW8Num31z3"/>
    <w:qFormat/>
    <w:rPr>
      <w:rFonts w:ascii="Times New Roman" w:hAnsi="Times New Roman" w:eastAsia="Calibri" w:cs="Times New Roman"/>
      <w:sz w:val="28"/>
    </w:rPr>
  </w:style>
  <w:style w:type="character" w:styleId="WW8Num32z0">
    <w:name w:val="WW8Num32z0"/>
    <w:qFormat/>
    <w:rPr>
      <w:rFonts w:ascii="Arial (WT);Arial" w:hAnsi="Arial (WT);Arial" w:cs="Arial (WT);Aria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3z1">
    <w:name w:val="WW8Num33z1"/>
    <w:qFormat/>
    <w:rPr>
      <w:rFonts w:ascii="Times New Roman" w:hAnsi="Times New Roman" w:cs="Times New Roman"/>
      <w:sz w:val="28"/>
      <w:szCs w:val="28"/>
    </w:rPr>
  </w:style>
  <w:style w:type="character" w:styleId="Style11">
    <w:name w:val="Основной шрифт абзаца"/>
    <w:qFormat/>
    <w:rPr/>
  </w:style>
  <w:style w:type="character" w:styleId="-">
    <w:name w:val="Hyperlink"/>
    <w:rPr>
      <w:strike w:val="false"/>
      <w:dstrike w:val="false"/>
      <w:color w:val="0063A4"/>
      <w:u w:val="none"/>
    </w:rPr>
  </w:style>
  <w:style w:type="character" w:styleId="Style12">
    <w:name w:val="FollowedHyperlink"/>
    <w:rPr>
      <w:color w:val="800080"/>
      <w:u w:val="single"/>
    </w:rPr>
  </w:style>
  <w:style w:type="character" w:styleId="31">
    <w:name w:val="Заголовок 3 Знак"/>
    <w:qFormat/>
    <w:rPr>
      <w:rFonts w:ascii="Arial" w:hAnsi="Arial" w:eastAsia="Times New Roman" w:cs="Arial"/>
      <w:b/>
      <w:bCs/>
      <w:sz w:val="28"/>
      <w:szCs w:val="26"/>
    </w:rPr>
  </w:style>
  <w:style w:type="character" w:styleId="Style13">
    <w:name w:val="Текст примечания Знак"/>
    <w:qFormat/>
    <w:rPr>
      <w:rFonts w:ascii="Arial" w:hAnsi="Arial" w:eastAsia="Times New Roman" w:cs="Times New Roman"/>
      <w:sz w:val="20"/>
      <w:szCs w:val="20"/>
    </w:rPr>
  </w:style>
  <w:style w:type="character" w:styleId="Style14">
    <w:name w:val="Верхний колонтитул Знак"/>
    <w:qFormat/>
    <w:rPr>
      <w:rFonts w:ascii="Arial" w:hAnsi="Arial" w:eastAsia="Times New Roman" w:cs="Times New Roman"/>
      <w:sz w:val="24"/>
      <w:szCs w:val="24"/>
    </w:rPr>
  </w:style>
  <w:style w:type="character" w:styleId="Style15">
    <w:name w:val="Нижний колонтитул Знак"/>
    <w:qFormat/>
    <w:rPr>
      <w:rFonts w:ascii="Arial" w:hAnsi="Arial" w:eastAsia="Times New Roman" w:cs="Times New Roman"/>
      <w:sz w:val="24"/>
      <w:szCs w:val="24"/>
    </w:rPr>
  </w:style>
  <w:style w:type="character" w:styleId="Style16">
    <w:name w:val="Основной текст Знак"/>
    <w:qFormat/>
    <w:rPr>
      <w:rFonts w:ascii="Arial" w:hAnsi="Arial" w:eastAsia="Times New Roman" w:cs="Times New Roman"/>
      <w:sz w:val="24"/>
      <w:szCs w:val="24"/>
    </w:rPr>
  </w:style>
  <w:style w:type="character" w:styleId="Style17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Style18">
    <w:name w:val="Знак примечания"/>
    <w:qFormat/>
    <w:rPr>
      <w:sz w:val="16"/>
      <w:szCs w:val="16"/>
    </w:rPr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kern w:val="2"/>
      <w:sz w:val="28"/>
      <w:szCs w:val="40"/>
    </w:rPr>
  </w:style>
  <w:style w:type="character" w:styleId="21">
    <w:name w:val="Заголовок 2 Знак"/>
    <w:qFormat/>
    <w:rPr>
      <w:rFonts w:ascii="Times New Roman" w:hAnsi="Times New Roman" w:eastAsia="Times New Roman" w:cs="Times New Roman"/>
      <w:b/>
      <w:bCs/>
      <w:sz w:val="28"/>
      <w:szCs w:val="32"/>
    </w:rPr>
  </w:style>
  <w:style w:type="character" w:styleId="Style19">
    <w:name w:val="Тема примечания Знак"/>
    <w:qFormat/>
    <w:rPr>
      <w:rFonts w:ascii="Arial" w:hAnsi="Arial" w:eastAsia="Times New Roman" w:cs="Times New Roman"/>
      <w:b/>
      <w:bCs/>
      <w:sz w:val="20"/>
      <w:szCs w:val="20"/>
    </w:rPr>
  </w:style>
  <w:style w:type="character" w:styleId="Style20">
    <w:name w:val="Схема документа Знак"/>
    <w:qFormat/>
    <w:rPr>
      <w:rFonts w:ascii="Tahoma" w:hAnsi="Tahoma" w:eastAsia="Times New Roman" w:cs="Tahoma"/>
      <w:sz w:val="16"/>
      <w:szCs w:val="16"/>
    </w:rPr>
  </w:style>
  <w:style w:type="character" w:styleId="Style21">
    <w:name w:val="Абзац списка Знак"/>
    <w:qFormat/>
    <w:rPr>
      <w:rFonts w:ascii="Arial" w:hAnsi="Arial" w:eastAsia="Times New Roman" w:cs="Arial"/>
      <w:sz w:val="24"/>
      <w:szCs w:val="24"/>
    </w:rPr>
  </w:style>
  <w:style w:type="character" w:styleId="Style22">
    <w:name w:val="Символ нумерации"/>
    <w:qFormat/>
    <w:rPr/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4">
    <w:name w:val="Body Text"/>
    <w:basedOn w:val="Normal"/>
    <w:pPr>
      <w:spacing w:before="0" w:after="160"/>
    </w:pPr>
    <w:rPr>
      <w:lang w:val="ru-RU"/>
    </w:rPr>
  </w:style>
  <w:style w:type="paragraph" w:styleId="Style25">
    <w:name w:val="List"/>
    <w:basedOn w:val="Style24"/>
    <w:pPr/>
    <w:rPr>
      <w:rFonts w:ascii="PT Astra Serif" w:hAnsi="PT Astra Serif" w:cs="Noto Sans Devanagari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8">
    <w:name w:val="Текст примечания"/>
    <w:basedOn w:val="Normal"/>
    <w:qFormat/>
    <w:pPr/>
    <w:rPr>
      <w:sz w:val="20"/>
      <w:szCs w:val="20"/>
      <w:lang w:val="ru-RU"/>
    </w:rPr>
  </w:style>
  <w:style w:type="paragraph" w:styleId="Style29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0">
    <w:name w:val="Header"/>
    <w:basedOn w:val="Normal"/>
    <w:pPr/>
    <w:rPr>
      <w:lang w:val="ru-RU"/>
    </w:rPr>
  </w:style>
  <w:style w:type="paragraph" w:styleId="Style31">
    <w:name w:val="Footer"/>
    <w:basedOn w:val="Normal"/>
    <w:pPr/>
    <w:rPr>
      <w:lang w:val="ru-RU"/>
    </w:rPr>
  </w:style>
  <w:style w:type="paragraph" w:styleId="Style32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Style33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paragraph" w:styleId="311">
    <w:name w:val="Основной текст 31"/>
    <w:basedOn w:val="Normal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</w:rPr>
  </w:style>
  <w:style w:type="paragraph" w:styleId="312">
    <w:name w:val="Основной текст с отступом 31"/>
    <w:basedOn w:val="Normal"/>
    <w:qFormat/>
    <w:pPr>
      <w:keepLines w:val="false"/>
      <w:suppressAutoHyphens w:val="true"/>
      <w:ind w:left="0" w:right="0" w:firstLine="709"/>
    </w:pPr>
    <w:rPr>
      <w:rFonts w:ascii="Times New Roman" w:hAnsi="Times New Roman" w:cs="Times New Roman"/>
      <w:b/>
      <w:bCs/>
      <w:sz w:val="26"/>
      <w:szCs w:val="26"/>
    </w:rPr>
  </w:style>
  <w:style w:type="paragraph" w:styleId="Style34">
    <w:name w:val="Обычный (веб)"/>
    <w:basedOn w:val="Normal"/>
    <w:qFormat/>
    <w:pPr>
      <w:keepLines w:val="false"/>
      <w:spacing w:before="280" w:after="280"/>
      <w:jc w:val="left"/>
    </w:pPr>
    <w:rPr>
      <w:rFonts w:ascii="Times New Roman" w:hAnsi="Times New Roman" w:cs="Times New Roman"/>
    </w:rPr>
  </w:style>
  <w:style w:type="paragraph" w:styleId="-3">
    <w:name w:val="Пункт-3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4">
    <w:name w:val="Пункт-4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5">
    <w:name w:val="Пункт-5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6">
    <w:name w:val="Пункт-6"/>
    <w:basedOn w:val="Normal"/>
    <w:qFormat/>
    <w:pPr>
      <w:keepLines w:val="false"/>
      <w:numPr>
        <w:ilvl w:val="0"/>
        <w:numId w:val="2"/>
      </w:numPr>
      <w:ind w:left="0" w:right="0" w:firstLine="709"/>
    </w:pPr>
    <w:rPr>
      <w:rFonts w:ascii="Times New Roman" w:hAnsi="Times New Roman" w:cs="Times New Roman"/>
      <w:sz w:val="28"/>
    </w:rPr>
  </w:style>
  <w:style w:type="paragraph" w:styleId="-7">
    <w:name w:val="Пункт-7"/>
    <w:basedOn w:val="Normal"/>
    <w:qFormat/>
    <w:pPr>
      <w:keepLines w:val="false"/>
      <w:numPr>
        <w:ilvl w:val="0"/>
        <w:numId w:val="2"/>
      </w:numPr>
      <w:ind w:left="0" w:right="0" w:firstLine="709"/>
    </w:pPr>
    <w:rPr>
      <w:rFonts w:ascii="Times New Roman" w:hAnsi="Times New Roman" w:cs="Times New Roman"/>
      <w:sz w:val="28"/>
    </w:rPr>
  </w:style>
  <w:style w:type="paragraph" w:styleId="Style35">
    <w:name w:val="Тема примечания"/>
    <w:basedOn w:val="Style28"/>
    <w:next w:val="Style28"/>
    <w:qFormat/>
    <w:pPr>
      <w:keepLines w:val="false"/>
      <w:spacing w:before="0" w:after="200"/>
      <w:jc w:val="left"/>
    </w:pPr>
    <w:rPr>
      <w:b/>
      <w:bCs/>
    </w:rPr>
  </w:style>
  <w:style w:type="paragraph" w:styleId="Style36">
    <w:name w:val="Схема документа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Style37">
    <w:name w:val="Рецензия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ru-RU" w:eastAsia="zh-CN" w:bidi="ar-SA"/>
    </w:rPr>
  </w:style>
  <w:style w:type="paragraph" w:styleId="Style38">
    <w:name w:val="Содержимое таблицы"/>
    <w:basedOn w:val="Normal"/>
    <w:qFormat/>
    <w:pPr>
      <w:widowControl w:val="false"/>
      <w:suppressLineNumbers/>
    </w:pPr>
    <w:rPr/>
  </w:style>
  <w:style w:type="paragraph" w:styleId="Style39">
    <w:name w:val="Заголовок таблицы"/>
    <w:basedOn w:val="Style3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www.atom2.roseltorg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LibreOffice/7.5.6.2$Linux_X86_64 LibreOffice_project/50$Build-2</Application>
  <AppVersion>15.0000</AppVersion>
  <Pages>8</Pages>
  <Words>2434</Words>
  <Characters>14966</Characters>
  <CharactersWithSpaces>16883</CharactersWithSpaces>
  <Paragraphs>574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2020-05-21T11:51:00Z</dcterms:created>
  <dc:creator>ss</dc:creator>
  <dc:description/>
  <dc:language>ru-RU</dc:language>
  <cp:lastModifiedBy/>
  <cp:lastPrinted>2024-12-03T15:17:44Z</cp:lastPrinted>
  <dcterms:modified xsi:type="dcterms:W3CDTF">2024-12-05T08:49:56Z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